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F56F6" w14:textId="77777777" w:rsidR="0085075C" w:rsidRDefault="0085075C" w:rsidP="002A1A9D">
      <w:pPr>
        <w:autoSpaceDE w:val="0"/>
        <w:autoSpaceDN w:val="0"/>
        <w:adjustRightInd w:val="0"/>
        <w:jc w:val="both"/>
        <w:rPr>
          <w:rFonts w:ascii="Bookman Old Style" w:hAnsi="Bookman Old Style" w:cs="TimesNewRomanPSMT"/>
          <w:color w:val="FF0000"/>
        </w:rPr>
      </w:pPr>
    </w:p>
    <w:p w14:paraId="695FBB22" w14:textId="77777777" w:rsidR="006473DA" w:rsidRPr="006A7BB2" w:rsidRDefault="006473DA" w:rsidP="002A1A9D">
      <w:pPr>
        <w:autoSpaceDE w:val="0"/>
        <w:autoSpaceDN w:val="0"/>
        <w:adjustRightInd w:val="0"/>
        <w:jc w:val="both"/>
        <w:rPr>
          <w:rFonts w:ascii="Bookman Old Style" w:hAnsi="Bookman Old Style" w:cs="TimesNewRomanPSMT"/>
          <w:color w:val="FF0000"/>
        </w:rPr>
      </w:pPr>
    </w:p>
    <w:p w14:paraId="0B27E746" w14:textId="77777777" w:rsidR="0085075C" w:rsidRPr="00B21E2A" w:rsidRDefault="0085075C" w:rsidP="002A1A9D">
      <w:pPr>
        <w:jc w:val="both"/>
        <w:rPr>
          <w:rFonts w:ascii="Bookman Old Style" w:hAnsi="Bookman Old Style" w:cstheme="minorBidi"/>
          <w:b/>
          <w:bCs/>
          <w:kern w:val="2"/>
        </w:rPr>
      </w:pPr>
    </w:p>
    <w:p w14:paraId="14E01BFC" w14:textId="77777777" w:rsidR="0085075C" w:rsidRPr="00B21E2A" w:rsidRDefault="0085075C" w:rsidP="002A1A9D">
      <w:pPr>
        <w:jc w:val="both"/>
        <w:rPr>
          <w:rFonts w:ascii="Bookman Old Style" w:hAnsi="Bookman Old Style" w:cstheme="minorBidi"/>
          <w:b/>
          <w:bCs/>
          <w:kern w:val="2"/>
        </w:rPr>
      </w:pPr>
    </w:p>
    <w:p w14:paraId="749E44D2" w14:textId="77777777" w:rsidR="0085075C" w:rsidRPr="00F90FDF" w:rsidRDefault="0085075C" w:rsidP="002A1A9D">
      <w:pPr>
        <w:jc w:val="center"/>
        <w:rPr>
          <w:rFonts w:ascii="Bookman Old Style" w:hAnsi="Bookman Old Style" w:cstheme="minorBidi"/>
          <w:b/>
          <w:bCs/>
          <w:kern w:val="2"/>
        </w:rPr>
      </w:pPr>
      <w:r w:rsidRPr="00F90FDF">
        <w:rPr>
          <w:rFonts w:ascii="Bookman Old Style" w:hAnsi="Bookman Old Style" w:cstheme="minorBidi"/>
          <w:noProof/>
          <w:kern w:val="2"/>
        </w:rPr>
        <w:drawing>
          <wp:inline distT="0" distB="0" distL="0" distR="0" wp14:anchorId="2D364A8F" wp14:editId="16D71689">
            <wp:extent cx="705645" cy="1044514"/>
            <wp:effectExtent l="0" t="0" r="0" b="3810"/>
            <wp:docPr id="1" name="Immagine 1" descr="Immagine che contiene testo, Carattere, linea, diagramm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 Carattere, linea, diagramma&#10;&#10;Descrizione generata automaticamente"/>
                    <pic:cNvPicPr/>
                  </pic:nvPicPr>
                  <pic:blipFill>
                    <a:blip r:embed="rId7" cstate="print">
                      <a:extLst>
                        <a:ext uri="{28A0092B-C50C-407E-A947-70E740481C1C}">
                          <a14:useLocalDpi xmlns:a14="http://schemas.microsoft.com/office/drawing/2010/main" val="0"/>
                        </a:ext>
                      </a:extLst>
                    </a:blip>
                    <a:stretch>
                      <a:fillRect/>
                    </a:stretch>
                  </pic:blipFill>
                  <pic:spPr>
                    <a:xfrm>
                      <a:off x="0" y="0"/>
                      <a:ext cx="712046" cy="1053989"/>
                    </a:xfrm>
                    <a:prstGeom prst="rect">
                      <a:avLst/>
                    </a:prstGeom>
                  </pic:spPr>
                </pic:pic>
              </a:graphicData>
            </a:graphic>
          </wp:inline>
        </w:drawing>
      </w:r>
    </w:p>
    <w:p w14:paraId="76C327EB" w14:textId="77777777" w:rsidR="0085075C" w:rsidRPr="00F90FDF" w:rsidRDefault="0085075C" w:rsidP="002A1A9D">
      <w:pPr>
        <w:jc w:val="center"/>
        <w:rPr>
          <w:rFonts w:ascii="Bookman Old Style" w:hAnsi="Bookman Old Style" w:cstheme="minorBidi"/>
          <w:b/>
          <w:bCs/>
          <w:kern w:val="2"/>
        </w:rPr>
      </w:pPr>
    </w:p>
    <w:p w14:paraId="37DF577C" w14:textId="77777777" w:rsidR="0085075C" w:rsidRPr="00F90FDF" w:rsidRDefault="0085075C" w:rsidP="002A1A9D">
      <w:pPr>
        <w:jc w:val="center"/>
        <w:rPr>
          <w:rFonts w:ascii="Bookman Old Style" w:hAnsi="Bookman Old Style" w:cstheme="minorBidi"/>
          <w:b/>
          <w:bCs/>
          <w:kern w:val="2"/>
        </w:rPr>
      </w:pPr>
    </w:p>
    <w:p w14:paraId="0E2C064B" w14:textId="77777777" w:rsidR="0085075C" w:rsidRPr="00F90FDF" w:rsidRDefault="0085075C" w:rsidP="002A1A9D">
      <w:pPr>
        <w:jc w:val="center"/>
        <w:rPr>
          <w:rFonts w:ascii="Bookman Old Style" w:hAnsi="Bookman Old Style" w:cstheme="minorBidi"/>
          <w:b/>
          <w:bCs/>
          <w:kern w:val="2"/>
        </w:rPr>
      </w:pPr>
    </w:p>
    <w:p w14:paraId="49FA2158" w14:textId="77777777" w:rsidR="0085075C" w:rsidRPr="00F90FDF" w:rsidRDefault="0085075C" w:rsidP="002A1A9D">
      <w:pPr>
        <w:keepNext/>
        <w:keepLines/>
        <w:shd w:val="clear" w:color="auto" w:fill="FFFFFF"/>
        <w:spacing w:line="312" w:lineRule="atLeast"/>
        <w:jc w:val="center"/>
        <w:outlineLvl w:val="2"/>
        <w:rPr>
          <w:rFonts w:ascii="Bookman Old Style" w:eastAsiaTheme="majorEastAsia" w:hAnsi="Bookman Old Style" w:cstheme="majorBidi"/>
          <w:b/>
          <w:bCs/>
          <w:color w:val="1F3763" w:themeColor="accent1" w:themeShade="7F"/>
          <w:kern w:val="2"/>
        </w:rPr>
      </w:pPr>
      <w:r w:rsidRPr="00F90FDF">
        <w:rPr>
          <w:rFonts w:ascii="Bookman Old Style" w:eastAsiaTheme="majorEastAsia" w:hAnsi="Bookman Old Style" w:cstheme="majorBidi"/>
          <w:b/>
          <w:bCs/>
          <w:color w:val="1F3763" w:themeColor="accent1" w:themeShade="7F"/>
          <w:kern w:val="2"/>
        </w:rPr>
        <w:t>NOTA SINTETICA</w:t>
      </w:r>
    </w:p>
    <w:p w14:paraId="1BDE0C5B" w14:textId="77777777" w:rsidR="0085075C" w:rsidRPr="00F90FDF" w:rsidRDefault="0085075C" w:rsidP="002A1A9D">
      <w:pPr>
        <w:keepNext/>
        <w:keepLines/>
        <w:shd w:val="clear" w:color="auto" w:fill="FFFFFF"/>
        <w:spacing w:line="312" w:lineRule="atLeast"/>
        <w:jc w:val="center"/>
        <w:outlineLvl w:val="2"/>
        <w:rPr>
          <w:rFonts w:ascii="Bookman Old Style" w:eastAsiaTheme="majorEastAsia" w:hAnsi="Bookman Old Style" w:cstheme="majorBidi"/>
          <w:b/>
          <w:bCs/>
          <w:color w:val="1F3763" w:themeColor="accent1" w:themeShade="7F"/>
          <w:kern w:val="2"/>
        </w:rPr>
      </w:pPr>
    </w:p>
    <w:p w14:paraId="308CBB4D" w14:textId="0409A3B8" w:rsidR="0085075C" w:rsidRPr="00F90FDF" w:rsidRDefault="0085075C" w:rsidP="002A1A9D">
      <w:pPr>
        <w:autoSpaceDE w:val="0"/>
        <w:autoSpaceDN w:val="0"/>
        <w:adjustRightInd w:val="0"/>
        <w:jc w:val="center"/>
        <w:rPr>
          <w:rFonts w:ascii="Bookman Old Style" w:eastAsiaTheme="majorEastAsia" w:hAnsi="Bookman Old Style" w:cstheme="majorBidi"/>
          <w:b/>
          <w:bCs/>
          <w:color w:val="1F3763" w:themeColor="accent1" w:themeShade="7F"/>
          <w:kern w:val="2"/>
        </w:rPr>
      </w:pPr>
      <w:r w:rsidRPr="00F90FDF">
        <w:rPr>
          <w:rFonts w:ascii="Bookman Old Style" w:eastAsiaTheme="majorEastAsia" w:hAnsi="Bookman Old Style" w:cstheme="majorBidi"/>
          <w:b/>
          <w:bCs/>
          <w:color w:val="1F3763" w:themeColor="accent1" w:themeShade="7F"/>
          <w:kern w:val="2"/>
        </w:rPr>
        <w:t xml:space="preserve">DECRETO-LEGGE 22 giugno 2023, n. </w:t>
      </w:r>
      <w:r w:rsidR="004969FF" w:rsidRPr="00F90FDF">
        <w:rPr>
          <w:rFonts w:ascii="Bookman Old Style" w:eastAsiaTheme="majorEastAsia" w:hAnsi="Bookman Old Style" w:cstheme="majorBidi"/>
          <w:b/>
          <w:bCs/>
          <w:color w:val="1F3763" w:themeColor="accent1" w:themeShade="7F"/>
          <w:kern w:val="2"/>
        </w:rPr>
        <w:t>75 recante</w:t>
      </w:r>
      <w:r w:rsidRPr="00F90FDF">
        <w:rPr>
          <w:rFonts w:ascii="Bookman Old Style" w:eastAsiaTheme="majorEastAsia" w:hAnsi="Bookman Old Style" w:cstheme="majorBidi"/>
          <w:b/>
          <w:bCs/>
          <w:color w:val="1F3763" w:themeColor="accent1" w:themeShade="7F"/>
          <w:kern w:val="2"/>
        </w:rPr>
        <w:t xml:space="preserve"> “</w:t>
      </w:r>
      <w:r w:rsidRPr="00F90FDF">
        <w:rPr>
          <w:rFonts w:ascii="Bookman Old Style" w:eastAsiaTheme="majorEastAsia" w:hAnsi="Bookman Old Style" w:cstheme="majorBidi"/>
          <w:b/>
          <w:bCs/>
          <w:i/>
          <w:iCs/>
          <w:color w:val="1F3763" w:themeColor="accent1" w:themeShade="7F"/>
          <w:kern w:val="2"/>
        </w:rPr>
        <w:t>Disposizioni urgenti in materia di organizzazione delle pubbliche amministrazioni, di agricoltura, di sport, di lavoro e per l’organizzazione del Giubileo della Chiesa cattolica per l’anno 2025</w:t>
      </w:r>
      <w:r w:rsidRPr="00F90FDF">
        <w:rPr>
          <w:rFonts w:ascii="Bookman Old Style" w:eastAsiaTheme="majorEastAsia" w:hAnsi="Bookman Old Style" w:cstheme="majorBidi"/>
          <w:b/>
          <w:bCs/>
          <w:color w:val="1F3763" w:themeColor="accent1" w:themeShade="7F"/>
          <w:kern w:val="2"/>
        </w:rPr>
        <w:t>”</w:t>
      </w:r>
      <w:r w:rsidR="002F0208" w:rsidRPr="00F90FDF">
        <w:rPr>
          <w:rFonts w:ascii="Bookman Old Style" w:eastAsiaTheme="majorEastAsia" w:hAnsi="Bookman Old Style" w:cstheme="majorBidi"/>
          <w:b/>
          <w:bCs/>
          <w:color w:val="1F3763" w:themeColor="accent1" w:themeShade="7F"/>
          <w:kern w:val="2"/>
        </w:rPr>
        <w:t xml:space="preserve"> come </w:t>
      </w:r>
      <w:r w:rsidR="00B670E4" w:rsidRPr="00F90FDF">
        <w:rPr>
          <w:rFonts w:ascii="Bookman Old Style" w:eastAsiaTheme="majorEastAsia" w:hAnsi="Bookman Old Style" w:cstheme="majorBidi"/>
          <w:b/>
          <w:bCs/>
          <w:color w:val="1F3763" w:themeColor="accent1" w:themeShade="7F"/>
          <w:kern w:val="2"/>
        </w:rPr>
        <w:t>approvato dalla Camera dei deputati</w:t>
      </w:r>
      <w:r w:rsidR="006853CB">
        <w:rPr>
          <w:rFonts w:ascii="Bookman Old Style" w:eastAsiaTheme="majorEastAsia" w:hAnsi="Bookman Old Style" w:cstheme="majorBidi"/>
          <w:b/>
          <w:bCs/>
          <w:color w:val="1F3763" w:themeColor="accent1" w:themeShade="7F"/>
          <w:kern w:val="2"/>
        </w:rPr>
        <w:t xml:space="preserve">, con voto </w:t>
      </w:r>
      <w:r w:rsidR="000C3548">
        <w:rPr>
          <w:rFonts w:ascii="Bookman Old Style" w:eastAsiaTheme="majorEastAsia" w:hAnsi="Bookman Old Style" w:cstheme="majorBidi"/>
          <w:b/>
          <w:bCs/>
          <w:color w:val="1F3763" w:themeColor="accent1" w:themeShade="7F"/>
          <w:kern w:val="2"/>
        </w:rPr>
        <w:t>di fiducia del 31 luglio 2023.</w:t>
      </w:r>
    </w:p>
    <w:p w14:paraId="21FA5450" w14:textId="77777777" w:rsidR="0085075C" w:rsidRPr="00F90FDF" w:rsidRDefault="0085075C" w:rsidP="002A1A9D">
      <w:pPr>
        <w:jc w:val="both"/>
        <w:rPr>
          <w:rFonts w:ascii="Bookman Old Style" w:eastAsiaTheme="majorEastAsia" w:hAnsi="Bookman Old Style" w:cstheme="majorBidi"/>
          <w:b/>
          <w:bCs/>
          <w:color w:val="1F3763" w:themeColor="accent1" w:themeShade="7F"/>
          <w:kern w:val="2"/>
        </w:rPr>
      </w:pPr>
    </w:p>
    <w:p w14:paraId="1B8144A6" w14:textId="77777777" w:rsidR="0085075C" w:rsidRPr="00F90FDF" w:rsidRDefault="0085075C" w:rsidP="002A1A9D">
      <w:pPr>
        <w:jc w:val="both"/>
        <w:rPr>
          <w:rFonts w:ascii="Bookman Old Style" w:hAnsi="Bookman Old Style"/>
        </w:rPr>
      </w:pPr>
    </w:p>
    <w:p w14:paraId="49336800" w14:textId="25480F61" w:rsidR="0085075C" w:rsidRPr="00F90FDF" w:rsidRDefault="007A0325" w:rsidP="002A1A9D">
      <w:pPr>
        <w:jc w:val="both"/>
        <w:rPr>
          <w:rFonts w:ascii="Bookman Old Style" w:hAnsi="Bookman Old Style"/>
        </w:rPr>
      </w:pPr>
      <w:r w:rsidRPr="00F90FDF">
        <w:rPr>
          <w:rFonts w:ascii="Bookman Old Style" w:hAnsi="Bookman Old Style"/>
        </w:rPr>
        <w:t xml:space="preserve">Il disegno di legge di </w:t>
      </w:r>
      <w:r w:rsidRPr="00F90FDF">
        <w:rPr>
          <w:rFonts w:ascii="Bookman Old Style" w:eastAsia="Times New Roman" w:hAnsi="Bookman Old Style"/>
        </w:rPr>
        <w:t xml:space="preserve">conversione del </w:t>
      </w:r>
      <w:hyperlink r:id="rId8" w:tgtFrame="_blank" w:history="1">
        <w:r w:rsidR="0085075C" w:rsidRPr="00F90FDF">
          <w:rPr>
            <w:rFonts w:ascii="Bookman Old Style" w:eastAsia="Times New Roman" w:hAnsi="Bookman Old Style"/>
          </w:rPr>
          <w:t xml:space="preserve"> decreto-legge n. 75 recante “</w:t>
        </w:r>
        <w:r w:rsidR="0085075C" w:rsidRPr="00F90FDF">
          <w:rPr>
            <w:rFonts w:ascii="Bookman Old Style" w:eastAsia="Times New Roman" w:hAnsi="Bookman Old Style"/>
            <w:i/>
            <w:iCs/>
          </w:rPr>
          <w:t>Disposizioni urgenti in materia di organizzazione delle pubbliche amministrazioni, di agricoltura, di sport, di lavoro e per l’organizzazione del Giubileo della Chiesa cattolica per l’anno 2025</w:t>
        </w:r>
        <w:r w:rsidR="0085075C" w:rsidRPr="00F90FDF">
          <w:rPr>
            <w:rFonts w:ascii="Bookman Old Style" w:eastAsia="Times New Roman" w:hAnsi="Bookman Old Style"/>
          </w:rPr>
          <w:t>”</w:t>
        </w:r>
      </w:hyperlink>
      <w:r w:rsidR="00D04665" w:rsidRPr="00F90FDF">
        <w:rPr>
          <w:rFonts w:ascii="Bookman Old Style" w:eastAsia="Times New Roman" w:hAnsi="Bookman Old Style"/>
        </w:rPr>
        <w:t xml:space="preserve"> </w:t>
      </w:r>
      <w:r w:rsidR="00D04665" w:rsidRPr="00F90FDF">
        <w:rPr>
          <w:rFonts w:ascii="Bookman Old Style" w:hAnsi="Bookman Old Style"/>
        </w:rPr>
        <w:t xml:space="preserve">è stato approvato dalla Camera dei deputati il </w:t>
      </w:r>
      <w:r w:rsidR="00B83BAD" w:rsidRPr="00F90FDF">
        <w:rPr>
          <w:rFonts w:ascii="Bookman Old Style" w:hAnsi="Bookman Old Style"/>
        </w:rPr>
        <w:t>31 luglio 2023</w:t>
      </w:r>
      <w:r w:rsidR="00D04665" w:rsidRPr="00F90FDF">
        <w:rPr>
          <w:rFonts w:ascii="Bookman Old Style" w:hAnsi="Bookman Old Style"/>
        </w:rPr>
        <w:t xml:space="preserve"> </w:t>
      </w:r>
      <w:r w:rsidR="003235DB">
        <w:rPr>
          <w:rFonts w:ascii="Bookman Old Style" w:hAnsi="Bookman Old Style"/>
        </w:rPr>
        <w:t xml:space="preserve">con voto di fiducia sul testo </w:t>
      </w:r>
      <w:r w:rsidR="00F54FD9">
        <w:rPr>
          <w:rFonts w:ascii="Bookman Old Style" w:hAnsi="Bookman Old Style"/>
        </w:rPr>
        <w:t>che ora</w:t>
      </w:r>
      <w:r w:rsidR="00B973A5">
        <w:rPr>
          <w:rFonts w:ascii="Bookman Old Style" w:hAnsi="Bookman Old Style"/>
        </w:rPr>
        <w:t xml:space="preserve"> è </w:t>
      </w:r>
      <w:r w:rsidR="00D04665" w:rsidRPr="00F90FDF">
        <w:rPr>
          <w:rFonts w:ascii="Bookman Old Style" w:hAnsi="Bookman Old Style"/>
        </w:rPr>
        <w:t>al Senato per la conversione definitiva in legge.</w:t>
      </w:r>
    </w:p>
    <w:p w14:paraId="54299DB8" w14:textId="77777777" w:rsidR="0085075C" w:rsidRPr="00F90FDF" w:rsidRDefault="0085075C" w:rsidP="002A1A9D">
      <w:pPr>
        <w:jc w:val="both"/>
        <w:rPr>
          <w:rFonts w:ascii="Bookman Old Style" w:hAnsi="Bookman Old Style" w:cstheme="minorBidi"/>
          <w:kern w:val="2"/>
        </w:rPr>
      </w:pPr>
    </w:p>
    <w:p w14:paraId="5B946DE4" w14:textId="50734942" w:rsidR="0085075C" w:rsidRPr="00F90FDF" w:rsidRDefault="0085075C" w:rsidP="002A1A9D">
      <w:pPr>
        <w:jc w:val="both"/>
        <w:rPr>
          <w:rFonts w:ascii="Bookman Old Style" w:hAnsi="Bookman Old Style" w:cstheme="minorBidi"/>
          <w:kern w:val="2"/>
        </w:rPr>
      </w:pPr>
      <w:r w:rsidRPr="00F90FDF">
        <w:rPr>
          <w:rFonts w:ascii="Bookman Old Style" w:hAnsi="Bookman Old Style" w:cstheme="minorBidi"/>
          <w:kern w:val="2"/>
        </w:rPr>
        <w:t>Si riportano</w:t>
      </w:r>
      <w:r w:rsidR="00EB2D7A">
        <w:rPr>
          <w:rFonts w:ascii="Bookman Old Style" w:hAnsi="Bookman Old Style" w:cstheme="minorBidi"/>
          <w:kern w:val="2"/>
        </w:rPr>
        <w:t>,</w:t>
      </w:r>
      <w:r w:rsidRPr="00F90FDF">
        <w:rPr>
          <w:rFonts w:ascii="Bookman Old Style" w:hAnsi="Bookman Old Style" w:cstheme="minorBidi"/>
          <w:kern w:val="2"/>
        </w:rPr>
        <w:t xml:space="preserve"> in sintesi</w:t>
      </w:r>
      <w:r w:rsidR="00EB2D7A">
        <w:rPr>
          <w:rFonts w:ascii="Bookman Old Style" w:hAnsi="Bookman Old Style" w:cstheme="minorBidi"/>
          <w:kern w:val="2"/>
        </w:rPr>
        <w:t>,</w:t>
      </w:r>
      <w:r w:rsidRPr="00F90FDF">
        <w:rPr>
          <w:rFonts w:ascii="Bookman Old Style" w:hAnsi="Bookman Old Style" w:cstheme="minorBidi"/>
          <w:kern w:val="2"/>
        </w:rPr>
        <w:t xml:space="preserve"> i contenuti delle principali norme </w:t>
      </w:r>
      <w:r w:rsidR="00D92972" w:rsidRPr="00F90FDF">
        <w:rPr>
          <w:rFonts w:ascii="Bookman Old Style" w:hAnsi="Bookman Old Style" w:cstheme="minorBidi"/>
          <w:kern w:val="2"/>
        </w:rPr>
        <w:t>di interesse per i Comuni e le Città metropolitane</w:t>
      </w:r>
      <w:r w:rsidRPr="00F90FDF">
        <w:rPr>
          <w:rFonts w:ascii="Bookman Old Style" w:hAnsi="Bookman Old Style" w:cstheme="minorBidi"/>
          <w:kern w:val="2"/>
        </w:rPr>
        <w:t>.</w:t>
      </w:r>
    </w:p>
    <w:p w14:paraId="684899B2" w14:textId="77777777" w:rsidR="0085075C" w:rsidRPr="00F90FDF" w:rsidRDefault="0085075C" w:rsidP="002A1A9D">
      <w:pPr>
        <w:autoSpaceDE w:val="0"/>
        <w:autoSpaceDN w:val="0"/>
        <w:adjustRightInd w:val="0"/>
        <w:jc w:val="both"/>
        <w:rPr>
          <w:rFonts w:ascii="Bookman Old Style" w:hAnsi="Bookman Old Style" w:cs="TimesNewRomanPSMT"/>
        </w:rPr>
      </w:pPr>
    </w:p>
    <w:p w14:paraId="021A64B7" w14:textId="46292239" w:rsidR="00CD2EED" w:rsidRPr="00F54FD9" w:rsidRDefault="002A1A9D" w:rsidP="00F54FD9">
      <w:pPr>
        <w:pStyle w:val="Paragrafoelenco"/>
        <w:numPr>
          <w:ilvl w:val="0"/>
          <w:numId w:val="7"/>
        </w:numPr>
        <w:spacing w:after="120"/>
        <w:jc w:val="both"/>
        <w:rPr>
          <w:rFonts w:ascii="Bookman Old Style" w:eastAsiaTheme="majorEastAsia" w:hAnsi="Bookman Old Style" w:cstheme="majorBidi"/>
          <w:b/>
          <w:bCs/>
          <w:color w:val="1F3763" w:themeColor="accent1" w:themeShade="7F"/>
          <w:kern w:val="2"/>
        </w:rPr>
      </w:pPr>
      <w:r w:rsidRPr="00F54FD9">
        <w:rPr>
          <w:rFonts w:ascii="Bookman Old Style" w:eastAsiaTheme="majorEastAsia" w:hAnsi="Bookman Old Style" w:cstheme="majorBidi"/>
          <w:b/>
          <w:bCs/>
          <w:color w:val="1F3763" w:themeColor="accent1" w:themeShade="7F"/>
          <w:kern w:val="2"/>
        </w:rPr>
        <w:t>DISPOSIZIONI URGENTI IN MATERIA DI ORGANIZZAZIONE DELLE PUBBLICHE AMMINISTRAZIONI</w:t>
      </w:r>
    </w:p>
    <w:p w14:paraId="351C2567" w14:textId="77777777" w:rsidR="00A53642" w:rsidRPr="00F90FDF" w:rsidRDefault="00A53642" w:rsidP="002A1A9D">
      <w:pPr>
        <w:spacing w:after="120"/>
        <w:jc w:val="both"/>
        <w:rPr>
          <w:rFonts w:ascii="Bookman Old Style" w:eastAsiaTheme="majorEastAsia" w:hAnsi="Bookman Old Style" w:cstheme="majorBidi"/>
          <w:b/>
          <w:bCs/>
          <w:color w:val="1F3763" w:themeColor="accent1" w:themeShade="7F"/>
          <w:kern w:val="2"/>
        </w:rPr>
      </w:pPr>
    </w:p>
    <w:p w14:paraId="48CEA77C" w14:textId="562A4080" w:rsidR="00003D2D" w:rsidRPr="00C768D0" w:rsidRDefault="00A27ADE" w:rsidP="0069617D">
      <w:pPr>
        <w:pStyle w:val="Paragrafoelenco"/>
        <w:numPr>
          <w:ilvl w:val="0"/>
          <w:numId w:val="1"/>
        </w:numPr>
        <w:jc w:val="both"/>
        <w:rPr>
          <w:rFonts w:ascii="Bookman Old Style" w:eastAsiaTheme="majorEastAsia" w:hAnsi="Bookman Old Style" w:cstheme="majorBidi"/>
          <w:b/>
          <w:bCs/>
          <w:color w:val="FF0000"/>
          <w:kern w:val="2"/>
        </w:rPr>
      </w:pPr>
      <w:r w:rsidRPr="00C768D0">
        <w:rPr>
          <w:rFonts w:ascii="Bookman Old Style" w:eastAsiaTheme="majorEastAsia" w:hAnsi="Bookman Old Style" w:cstheme="majorBidi"/>
          <w:b/>
          <w:bCs/>
          <w:color w:val="FF0000"/>
          <w:kern w:val="2"/>
        </w:rPr>
        <w:t xml:space="preserve">Assunzioni di soggetti impegnati in lavori socialmente utili o di pubblica utilità </w:t>
      </w:r>
      <w:r w:rsidR="00003D2D" w:rsidRPr="00C768D0">
        <w:rPr>
          <w:rFonts w:ascii="Bookman Old Style" w:eastAsiaTheme="majorEastAsia" w:hAnsi="Bookman Old Style" w:cstheme="majorBidi"/>
          <w:b/>
          <w:bCs/>
          <w:color w:val="FF0000"/>
          <w:kern w:val="2"/>
        </w:rPr>
        <w:t xml:space="preserve">(Art. </w:t>
      </w:r>
      <w:r w:rsidR="005A3B67" w:rsidRPr="00C768D0">
        <w:rPr>
          <w:rFonts w:ascii="Bookman Old Style" w:eastAsiaTheme="majorEastAsia" w:hAnsi="Bookman Old Style" w:cstheme="majorBidi"/>
          <w:b/>
          <w:bCs/>
          <w:color w:val="FF0000"/>
          <w:kern w:val="2"/>
        </w:rPr>
        <w:t xml:space="preserve">2, </w:t>
      </w:r>
      <w:r w:rsidR="00F85E5A" w:rsidRPr="00C768D0">
        <w:rPr>
          <w:rFonts w:ascii="Bookman Old Style" w:eastAsiaTheme="majorEastAsia" w:hAnsi="Bookman Old Style" w:cstheme="majorBidi"/>
          <w:b/>
          <w:bCs/>
          <w:color w:val="FF0000"/>
          <w:kern w:val="2"/>
        </w:rPr>
        <w:t>commi 1 e 2-quater</w:t>
      </w:r>
      <w:r w:rsidRPr="00C768D0">
        <w:rPr>
          <w:rFonts w:ascii="Bookman Old Style" w:eastAsiaTheme="majorEastAsia" w:hAnsi="Bookman Old Style" w:cstheme="majorBidi"/>
          <w:b/>
          <w:bCs/>
          <w:color w:val="FF0000"/>
          <w:kern w:val="2"/>
        </w:rPr>
        <w:t>)</w:t>
      </w:r>
    </w:p>
    <w:p w14:paraId="515CA84D" w14:textId="4611DAD1" w:rsidR="00A27ADE" w:rsidRPr="00F90FDF" w:rsidRDefault="00262168" w:rsidP="0069617D">
      <w:pPr>
        <w:pStyle w:val="Default"/>
        <w:jc w:val="both"/>
        <w:rPr>
          <w:rFonts w:ascii="Bookman Old Style" w:hAnsi="Bookman Old Style"/>
          <w:sz w:val="22"/>
          <w:szCs w:val="22"/>
        </w:rPr>
      </w:pPr>
      <w:r w:rsidRPr="00F90FDF">
        <w:rPr>
          <w:rFonts w:ascii="Bookman Old Style" w:hAnsi="Bookman Old Style"/>
          <w:sz w:val="22"/>
          <w:szCs w:val="22"/>
        </w:rPr>
        <w:t xml:space="preserve">La norma </w:t>
      </w:r>
      <w:r w:rsidR="00A6732C" w:rsidRPr="00F90FDF">
        <w:rPr>
          <w:rFonts w:ascii="Bookman Old Style" w:hAnsi="Bookman Old Style"/>
          <w:sz w:val="22"/>
          <w:szCs w:val="22"/>
        </w:rPr>
        <w:t xml:space="preserve">consente </w:t>
      </w:r>
      <w:r w:rsidRPr="00F90FDF">
        <w:rPr>
          <w:rFonts w:ascii="Bookman Old Style" w:hAnsi="Bookman Old Style"/>
          <w:sz w:val="22"/>
          <w:szCs w:val="22"/>
        </w:rPr>
        <w:t>alle</w:t>
      </w:r>
      <w:r w:rsidR="00A6732C" w:rsidRPr="00F90FDF">
        <w:rPr>
          <w:rFonts w:ascii="Bookman Old Style" w:hAnsi="Bookman Old Style"/>
          <w:b/>
          <w:bCs/>
          <w:sz w:val="22"/>
          <w:szCs w:val="22"/>
        </w:rPr>
        <w:t xml:space="preserve"> pubbliche amministrazioni </w:t>
      </w:r>
      <w:r w:rsidRPr="00F90FDF">
        <w:rPr>
          <w:rFonts w:ascii="Bookman Old Style" w:hAnsi="Bookman Old Style"/>
          <w:b/>
          <w:bCs/>
          <w:sz w:val="22"/>
          <w:szCs w:val="22"/>
        </w:rPr>
        <w:t>di poter</w:t>
      </w:r>
      <w:r w:rsidR="00A6732C" w:rsidRPr="00F90FDF">
        <w:rPr>
          <w:rFonts w:ascii="Bookman Old Style" w:hAnsi="Bookman Old Style"/>
          <w:sz w:val="22"/>
          <w:szCs w:val="22"/>
        </w:rPr>
        <w:t xml:space="preserve"> assumere a tempo indeterminato, </w:t>
      </w:r>
      <w:r w:rsidR="00A6732C" w:rsidRPr="00FC0B7E">
        <w:rPr>
          <w:rFonts w:ascii="Bookman Old Style" w:hAnsi="Bookman Old Style"/>
          <w:b/>
          <w:bCs/>
          <w:sz w:val="22"/>
          <w:szCs w:val="22"/>
        </w:rPr>
        <w:t>entro il 30 giugno 2026</w:t>
      </w:r>
      <w:r w:rsidR="00A6732C" w:rsidRPr="00F90FDF">
        <w:rPr>
          <w:rFonts w:ascii="Bookman Old Style" w:hAnsi="Bookman Old Style"/>
          <w:sz w:val="22"/>
          <w:szCs w:val="22"/>
        </w:rPr>
        <w:t xml:space="preserve">, i soggetti già impegnati in lavori socialmente utili o di pubblica utilità in posizione di lavoratori sovrannumerari e in deroga alla dotazione organica </w:t>
      </w:r>
      <w:r w:rsidR="00D213A2">
        <w:rPr>
          <w:rFonts w:ascii="Bookman Old Style" w:hAnsi="Bookman Old Style"/>
          <w:sz w:val="22"/>
          <w:szCs w:val="22"/>
        </w:rPr>
        <w:t xml:space="preserve"> e al </w:t>
      </w:r>
      <w:r w:rsidR="00A6732C" w:rsidRPr="00F90FDF">
        <w:rPr>
          <w:rFonts w:ascii="Bookman Old Style" w:hAnsi="Bookman Old Style"/>
          <w:sz w:val="22"/>
          <w:szCs w:val="22"/>
        </w:rPr>
        <w:t xml:space="preserve">piano di fabbisogno del personale, ma fermi restando i vincoli </w:t>
      </w:r>
      <w:proofErr w:type="spellStart"/>
      <w:r w:rsidR="00A6732C" w:rsidRPr="00F90FDF">
        <w:rPr>
          <w:rFonts w:ascii="Bookman Old Style" w:hAnsi="Bookman Old Style"/>
          <w:sz w:val="22"/>
          <w:szCs w:val="22"/>
        </w:rPr>
        <w:t>assunzionali</w:t>
      </w:r>
      <w:proofErr w:type="spellEnd"/>
      <w:r w:rsidR="00A6732C" w:rsidRPr="00F90FDF">
        <w:rPr>
          <w:rFonts w:ascii="Bookman Old Style" w:hAnsi="Bookman Old Style"/>
          <w:sz w:val="22"/>
          <w:szCs w:val="22"/>
        </w:rPr>
        <w:t xml:space="preserve"> previsti dalla disciplina vigente. </w:t>
      </w:r>
    </w:p>
    <w:p w14:paraId="4E0EC07C" w14:textId="6248A5F5" w:rsidR="00DC511A" w:rsidRPr="00F90FDF" w:rsidRDefault="002F728E" w:rsidP="00301DA6">
      <w:pPr>
        <w:pStyle w:val="Default"/>
        <w:jc w:val="both"/>
        <w:rPr>
          <w:rFonts w:ascii="Bookman Old Style" w:eastAsia="Times New Roman" w:hAnsi="Bookman Old Style"/>
          <w:sz w:val="22"/>
          <w:szCs w:val="22"/>
        </w:rPr>
      </w:pPr>
      <w:r w:rsidRPr="00F90FDF">
        <w:rPr>
          <w:rFonts w:ascii="Bookman Old Style" w:hAnsi="Bookman Old Style"/>
          <w:sz w:val="22"/>
          <w:szCs w:val="22"/>
        </w:rPr>
        <w:t>Inoltre il comma 2 quater</w:t>
      </w:r>
      <w:r w:rsidR="002A0F8B">
        <w:rPr>
          <w:rFonts w:ascii="Bookman Old Style" w:hAnsi="Bookman Old Style"/>
          <w:sz w:val="22"/>
          <w:szCs w:val="22"/>
        </w:rPr>
        <w:t>, accogliendo una richiesta dell’ANCI alla Conferenza Unificata,</w:t>
      </w:r>
      <w:r w:rsidRPr="00F90FDF">
        <w:rPr>
          <w:rFonts w:ascii="Bookman Old Style" w:hAnsi="Bookman Old Style"/>
          <w:sz w:val="22"/>
          <w:szCs w:val="22"/>
        </w:rPr>
        <w:t xml:space="preserve"> </w:t>
      </w:r>
      <w:r w:rsidR="00C674C6" w:rsidRPr="00F90FDF">
        <w:rPr>
          <w:rFonts w:ascii="Bookman Old Style" w:hAnsi="Bookman Old Style"/>
          <w:sz w:val="22"/>
          <w:szCs w:val="22"/>
        </w:rPr>
        <w:t xml:space="preserve">differisce </w:t>
      </w:r>
      <w:r w:rsidR="00A6732C" w:rsidRPr="00F90FDF">
        <w:rPr>
          <w:rFonts w:ascii="Bookman Old Style" w:hAnsi="Bookman Old Style"/>
          <w:b/>
          <w:bCs/>
          <w:sz w:val="22"/>
          <w:szCs w:val="22"/>
        </w:rPr>
        <w:t xml:space="preserve">dal 30 giugno 2023 al 30 dicembre 2023 </w:t>
      </w:r>
      <w:r w:rsidR="00A6732C" w:rsidRPr="00F90FDF">
        <w:rPr>
          <w:rFonts w:ascii="Bookman Old Style" w:hAnsi="Bookman Old Style"/>
          <w:sz w:val="22"/>
          <w:szCs w:val="22"/>
        </w:rPr>
        <w:t xml:space="preserve">il termine entro il quale </w:t>
      </w:r>
      <w:r w:rsidR="00A6732C" w:rsidRPr="00F90FDF">
        <w:rPr>
          <w:rFonts w:ascii="Bookman Old Style" w:hAnsi="Bookman Old Style"/>
          <w:b/>
          <w:bCs/>
          <w:sz w:val="22"/>
          <w:szCs w:val="22"/>
        </w:rPr>
        <w:t xml:space="preserve">i soggetti già impegnati in lavori socialmente utili o in attività di pubblica utilità possono essere </w:t>
      </w:r>
      <w:r w:rsidR="00301DA6">
        <w:rPr>
          <w:rFonts w:ascii="Bookman Old Style" w:hAnsi="Bookman Old Style"/>
          <w:b/>
          <w:bCs/>
          <w:sz w:val="22"/>
          <w:szCs w:val="22"/>
        </w:rPr>
        <w:t>stabilizzati</w:t>
      </w:r>
      <w:r w:rsidR="00301DA6" w:rsidRPr="00F90FDF">
        <w:rPr>
          <w:rFonts w:ascii="Bookman Old Style" w:hAnsi="Bookman Old Style"/>
          <w:b/>
          <w:bCs/>
          <w:sz w:val="22"/>
          <w:szCs w:val="22"/>
        </w:rPr>
        <w:t xml:space="preserve"> </w:t>
      </w:r>
      <w:r w:rsidR="00A6732C" w:rsidRPr="00F90FDF">
        <w:rPr>
          <w:rFonts w:ascii="Bookman Old Style" w:hAnsi="Bookman Old Style"/>
          <w:sz w:val="22"/>
          <w:szCs w:val="22"/>
        </w:rPr>
        <w:t xml:space="preserve">– </w:t>
      </w:r>
      <w:r w:rsidR="00A6732C" w:rsidRPr="00F90FDF">
        <w:rPr>
          <w:rFonts w:ascii="Bookman Old Style" w:hAnsi="Bookman Old Style"/>
          <w:b/>
          <w:bCs/>
          <w:sz w:val="22"/>
          <w:szCs w:val="22"/>
        </w:rPr>
        <w:t xml:space="preserve">da parte </w:t>
      </w:r>
      <w:r w:rsidR="00AD0341">
        <w:rPr>
          <w:rFonts w:ascii="Bookman Old Style" w:hAnsi="Bookman Old Style"/>
          <w:b/>
          <w:bCs/>
          <w:sz w:val="22"/>
          <w:szCs w:val="22"/>
        </w:rPr>
        <w:t xml:space="preserve">dei Comuni beneficiari del Fondo </w:t>
      </w:r>
      <w:r w:rsidR="00301DA6">
        <w:rPr>
          <w:rFonts w:ascii="Bookman Old Style" w:hAnsi="Bookman Old Style"/>
          <w:b/>
          <w:bCs/>
          <w:sz w:val="22"/>
          <w:szCs w:val="22"/>
        </w:rPr>
        <w:t>previsto</w:t>
      </w:r>
      <w:r w:rsidR="00955E68">
        <w:rPr>
          <w:rFonts w:ascii="Bookman Old Style" w:hAnsi="Bookman Old Style"/>
          <w:b/>
          <w:bCs/>
          <w:sz w:val="22"/>
          <w:szCs w:val="22"/>
        </w:rPr>
        <w:t xml:space="preserve"> dall’art. 1, comma 1156, lett. </w:t>
      </w:r>
      <w:r w:rsidR="00301DA6">
        <w:rPr>
          <w:rFonts w:ascii="Bookman Old Style" w:hAnsi="Bookman Old Style"/>
          <w:b/>
          <w:bCs/>
          <w:sz w:val="22"/>
          <w:szCs w:val="22"/>
        </w:rPr>
        <w:t>g</w:t>
      </w:r>
      <w:r w:rsidR="00955E68">
        <w:rPr>
          <w:rFonts w:ascii="Bookman Old Style" w:hAnsi="Bookman Old Style"/>
          <w:b/>
          <w:bCs/>
          <w:sz w:val="22"/>
          <w:szCs w:val="22"/>
        </w:rPr>
        <w:t>-bis), della L. n. 296/2006</w:t>
      </w:r>
      <w:r w:rsidR="00301DA6">
        <w:rPr>
          <w:rFonts w:ascii="Bookman Old Style" w:hAnsi="Bookman Old Style"/>
          <w:b/>
          <w:bCs/>
          <w:sz w:val="22"/>
          <w:szCs w:val="22"/>
        </w:rPr>
        <w:t xml:space="preserve"> </w:t>
      </w:r>
      <w:r w:rsidR="00A6732C" w:rsidRPr="00F90FDF">
        <w:rPr>
          <w:rFonts w:ascii="Bookman Old Style" w:hAnsi="Bookman Old Style"/>
          <w:sz w:val="22"/>
          <w:szCs w:val="22"/>
        </w:rPr>
        <w:t>– in posizione di lavoratori sovrannumerari, in deroga alla dotazione organica, alla condizione del rispetto del piano di fabbisogno del personale ed ai limiti stabiliti per le assunzioni dalla normativa vigente</w:t>
      </w:r>
    </w:p>
    <w:p w14:paraId="0FFD0CB7" w14:textId="77777777" w:rsidR="00DC511A" w:rsidRPr="00F90FDF" w:rsidRDefault="00DC511A" w:rsidP="00003D2D">
      <w:pPr>
        <w:spacing w:after="120"/>
        <w:jc w:val="both"/>
        <w:rPr>
          <w:rFonts w:ascii="Bookman Old Style" w:eastAsia="Times New Roman" w:hAnsi="Bookman Old Style"/>
        </w:rPr>
      </w:pPr>
    </w:p>
    <w:p w14:paraId="6BC757AD" w14:textId="181392EE" w:rsidR="00DC511A" w:rsidRPr="00C768D0" w:rsidRDefault="00DC511A" w:rsidP="0069617D">
      <w:pPr>
        <w:pStyle w:val="Paragrafoelenco"/>
        <w:numPr>
          <w:ilvl w:val="0"/>
          <w:numId w:val="1"/>
        </w:numPr>
        <w:jc w:val="both"/>
        <w:rPr>
          <w:rFonts w:ascii="Bookman Old Style" w:eastAsiaTheme="majorEastAsia" w:hAnsi="Bookman Old Style" w:cstheme="majorBidi"/>
          <w:b/>
          <w:bCs/>
          <w:color w:val="FF0000"/>
          <w:kern w:val="2"/>
        </w:rPr>
      </w:pPr>
      <w:r w:rsidRPr="00C768D0">
        <w:rPr>
          <w:rFonts w:ascii="Bookman Old Style" w:eastAsiaTheme="majorEastAsia" w:hAnsi="Bookman Old Style" w:cstheme="majorBidi"/>
          <w:b/>
          <w:bCs/>
          <w:color w:val="FF0000"/>
          <w:kern w:val="2"/>
        </w:rPr>
        <w:t>Osservatorio nazionale sulle sanzioni da codice della strada (Art</w:t>
      </w:r>
      <w:r w:rsidR="00647A33" w:rsidRPr="00C768D0">
        <w:rPr>
          <w:rFonts w:ascii="Bookman Old Style" w:eastAsiaTheme="majorEastAsia" w:hAnsi="Bookman Old Style" w:cstheme="majorBidi"/>
          <w:b/>
          <w:bCs/>
          <w:color w:val="FF0000"/>
          <w:kern w:val="2"/>
        </w:rPr>
        <w:t>.</w:t>
      </w:r>
      <w:r w:rsidRPr="00C768D0">
        <w:rPr>
          <w:rFonts w:ascii="Bookman Old Style" w:eastAsiaTheme="majorEastAsia" w:hAnsi="Bookman Old Style" w:cstheme="majorBidi"/>
          <w:b/>
          <w:bCs/>
          <w:color w:val="FF0000"/>
          <w:kern w:val="2"/>
        </w:rPr>
        <w:t xml:space="preserve"> 9, commi da 1-bis a 1-sexies)</w:t>
      </w:r>
    </w:p>
    <w:p w14:paraId="0E73F327" w14:textId="770F0DAF" w:rsidR="00DC511A" w:rsidRPr="00F90FDF" w:rsidRDefault="00DC511A" w:rsidP="0069617D">
      <w:pPr>
        <w:jc w:val="both"/>
        <w:rPr>
          <w:rFonts w:ascii="Bookman Old Style" w:eastAsia="Times New Roman" w:hAnsi="Bookman Old Style"/>
        </w:rPr>
      </w:pPr>
      <w:r w:rsidRPr="00F90FDF">
        <w:rPr>
          <w:rFonts w:ascii="Bookman Old Style" w:eastAsia="Times New Roman" w:hAnsi="Bookman Old Style"/>
        </w:rPr>
        <w:t>La norma</w:t>
      </w:r>
      <w:r w:rsidR="00A37C57">
        <w:rPr>
          <w:rFonts w:ascii="Bookman Old Style" w:eastAsia="Times New Roman" w:hAnsi="Bookman Old Style"/>
        </w:rPr>
        <w:t>,</w:t>
      </w:r>
      <w:r w:rsidRPr="00F90FDF">
        <w:rPr>
          <w:rFonts w:ascii="Bookman Old Style" w:eastAsia="Times New Roman" w:hAnsi="Bookman Old Style"/>
        </w:rPr>
        <w:t xml:space="preserve"> </w:t>
      </w:r>
      <w:r w:rsidR="00AA036C" w:rsidRPr="00F90FDF">
        <w:rPr>
          <w:rFonts w:ascii="Bookman Old Style" w:hAnsi="Bookman Old Style"/>
        </w:rPr>
        <w:t>introdotta durante l’esame parlamentare</w:t>
      </w:r>
      <w:r w:rsidRPr="00F90FDF">
        <w:rPr>
          <w:rFonts w:ascii="Bookman Old Style" w:eastAsia="Times New Roman" w:hAnsi="Bookman Old Style"/>
        </w:rPr>
        <w:t>, istituisce l'Osservatorio nazionale sulle sanzioni da codice della strada, definendone le attività e la composizione.</w:t>
      </w:r>
    </w:p>
    <w:p w14:paraId="4ED3F5C9" w14:textId="178CE84A" w:rsidR="00DC511A" w:rsidRPr="00F90FDF" w:rsidRDefault="00DC511A" w:rsidP="00DC511A">
      <w:pPr>
        <w:spacing w:after="120"/>
        <w:jc w:val="both"/>
        <w:rPr>
          <w:rFonts w:ascii="Bookman Old Style" w:eastAsia="Times New Roman" w:hAnsi="Bookman Old Style"/>
        </w:rPr>
      </w:pPr>
      <w:r w:rsidRPr="00F90FDF">
        <w:rPr>
          <w:rFonts w:ascii="Bookman Old Style" w:eastAsia="Times New Roman" w:hAnsi="Bookman Old Style"/>
        </w:rPr>
        <w:lastRenderedPageBreak/>
        <w:t>In particolare</w:t>
      </w:r>
      <w:r w:rsidR="00A37C57">
        <w:rPr>
          <w:rFonts w:ascii="Bookman Old Style" w:eastAsia="Times New Roman" w:hAnsi="Bookman Old Style"/>
        </w:rPr>
        <w:t>,</w:t>
      </w:r>
      <w:r w:rsidRPr="00F90FDF">
        <w:rPr>
          <w:rFonts w:ascii="Bookman Old Style" w:eastAsia="Times New Roman" w:hAnsi="Bookman Old Style"/>
        </w:rPr>
        <w:t xml:space="preserve"> dispone l’istituzione dell’Osservatorio presso il Ministero delle infrastrutture e trasporti (MIT) </w:t>
      </w:r>
      <w:r w:rsidR="006D1810" w:rsidRPr="00F90FDF">
        <w:rPr>
          <w:rFonts w:ascii="Bookman Old Style" w:eastAsia="Times New Roman" w:hAnsi="Bookman Old Style"/>
        </w:rPr>
        <w:t>che deve</w:t>
      </w:r>
      <w:r w:rsidRPr="00F90FDF">
        <w:rPr>
          <w:rFonts w:ascii="Bookman Old Style" w:eastAsia="Times New Roman" w:hAnsi="Bookman Old Style"/>
        </w:rPr>
        <w:t>:</w:t>
      </w:r>
    </w:p>
    <w:p w14:paraId="4C91C9BB" w14:textId="37F7D652" w:rsidR="00DC511A" w:rsidRPr="00F90FDF" w:rsidRDefault="00DC511A" w:rsidP="00DC511A">
      <w:pPr>
        <w:spacing w:after="120"/>
        <w:jc w:val="both"/>
        <w:rPr>
          <w:rFonts w:ascii="Bookman Old Style" w:eastAsia="Times New Roman" w:hAnsi="Bookman Old Style"/>
        </w:rPr>
      </w:pPr>
      <w:r w:rsidRPr="00F90FDF">
        <w:rPr>
          <w:rFonts w:ascii="Bookman Old Style" w:eastAsia="Times New Roman" w:hAnsi="Bookman Old Style"/>
        </w:rPr>
        <w:t>a) predisporre e presentare al Ministro delle infrastrutture e dei trasporti una relazione annuale di monitoraggio elaborata sulla base dei dati forniti dal Ministero dell'interno e dall'Istituto nazionale di statistica e risultanti dall'attuazione degli articoli 142 (relativo ai limiti di velocità) e 208 (relativo ai proventi delle sanzioni amministrative pecuniarie) del Codice della Strada (d</w:t>
      </w:r>
      <w:r w:rsidR="003F7A5D">
        <w:rPr>
          <w:rFonts w:ascii="Bookman Old Style" w:eastAsia="Times New Roman" w:hAnsi="Bookman Old Style"/>
        </w:rPr>
        <w:t>.lgs</w:t>
      </w:r>
      <w:r w:rsidR="003D2E9B">
        <w:rPr>
          <w:rFonts w:ascii="Bookman Old Style" w:eastAsia="Times New Roman" w:hAnsi="Bookman Old Style"/>
        </w:rPr>
        <w:t>.</w:t>
      </w:r>
      <w:r w:rsidR="003F7A5D">
        <w:rPr>
          <w:rFonts w:ascii="Bookman Old Style" w:eastAsia="Times New Roman" w:hAnsi="Bookman Old Style"/>
        </w:rPr>
        <w:t xml:space="preserve"> 285/1992</w:t>
      </w:r>
      <w:r w:rsidRPr="00F90FDF">
        <w:rPr>
          <w:rFonts w:ascii="Bookman Old Style" w:eastAsia="Times New Roman" w:hAnsi="Bookman Old Style"/>
        </w:rPr>
        <w:t>), con particolare riferimento ai dati relativi all'incidentalità</w:t>
      </w:r>
      <w:r w:rsidR="003F439B">
        <w:rPr>
          <w:rFonts w:ascii="Bookman Old Style" w:eastAsia="Times New Roman" w:hAnsi="Bookman Old Style"/>
        </w:rPr>
        <w:t>,</w:t>
      </w:r>
      <w:r w:rsidRPr="00F90FDF">
        <w:rPr>
          <w:rFonts w:ascii="Bookman Old Style" w:eastAsia="Times New Roman" w:hAnsi="Bookman Old Style"/>
        </w:rPr>
        <w:t xml:space="preserve"> alla trasparenza e all'utilizzo dei proventi delle sanzioni amministrative pecuniarie</w:t>
      </w:r>
      <w:r w:rsidR="003F439B">
        <w:rPr>
          <w:rFonts w:ascii="Bookman Old Style" w:eastAsia="Times New Roman" w:hAnsi="Bookman Old Style"/>
        </w:rPr>
        <w:t>,</w:t>
      </w:r>
      <w:r w:rsidRPr="00F90FDF">
        <w:rPr>
          <w:rFonts w:ascii="Bookman Old Style" w:eastAsia="Times New Roman" w:hAnsi="Bookman Old Style"/>
        </w:rPr>
        <w:t xml:space="preserve"> all'uso dei dispositivi elettronici di controllo della velocità;</w:t>
      </w:r>
    </w:p>
    <w:p w14:paraId="0C0B77B1" w14:textId="5689E3C3" w:rsidR="00DC511A" w:rsidRPr="00F90FDF" w:rsidRDefault="00DC511A" w:rsidP="00DC511A">
      <w:pPr>
        <w:spacing w:after="120"/>
        <w:jc w:val="both"/>
        <w:rPr>
          <w:rFonts w:ascii="Bookman Old Style" w:eastAsia="Times New Roman" w:hAnsi="Bookman Old Style"/>
        </w:rPr>
      </w:pPr>
      <w:r w:rsidRPr="00F90FDF">
        <w:rPr>
          <w:rFonts w:ascii="Bookman Old Style" w:eastAsia="Times New Roman" w:hAnsi="Bookman Old Style"/>
        </w:rPr>
        <w:t>b) verificare le segnalazioni delle associazioni dei consumatori operanti nel settore, con la possibilità di richiedere dati e informazioni alle amministrazioni pubbliche interessate (che sono elencate all'articolo 1, comma 2, del decreto legislativo 30 marzo 2001, n. 165);</w:t>
      </w:r>
    </w:p>
    <w:p w14:paraId="27D27B4A" w14:textId="413FF146" w:rsidR="00DC511A" w:rsidRPr="00F90FDF" w:rsidRDefault="00DC511A" w:rsidP="00DC511A">
      <w:pPr>
        <w:spacing w:after="120"/>
        <w:jc w:val="both"/>
        <w:rPr>
          <w:rFonts w:ascii="Bookman Old Style" w:eastAsia="Times New Roman" w:hAnsi="Bookman Old Style"/>
        </w:rPr>
      </w:pPr>
      <w:r w:rsidRPr="00F90FDF">
        <w:rPr>
          <w:rFonts w:ascii="Bookman Old Style" w:eastAsia="Times New Roman" w:hAnsi="Bookman Old Style"/>
        </w:rPr>
        <w:t>Con decreto del MIT da adottarsi entro 90 giorni dalla data di entrata in vigore della legge di conversione, viene effettuata la nomina dei membri dell’Osservatorio e le sue modalità di funzionamento. Si dispone che l'Osservatorio sia composto da tre membri, di cui uno con funzione di Presidente e si stabilisce che l'incarico di componente dell'Osservatorio abbia una durata di quattro anni. Con lo stesso decreto ministeriale saranno altresì stabiliti i compensi dei componenti dell'Osservatorio.</w:t>
      </w:r>
    </w:p>
    <w:p w14:paraId="6E40E993" w14:textId="4F66B1D5" w:rsidR="00DC511A" w:rsidRPr="00F90FDF" w:rsidRDefault="00DC511A" w:rsidP="00DC511A">
      <w:pPr>
        <w:spacing w:after="120"/>
        <w:jc w:val="both"/>
        <w:rPr>
          <w:rFonts w:ascii="Bookman Old Style" w:hAnsi="Bookman Old Style"/>
        </w:rPr>
      </w:pPr>
      <w:r w:rsidRPr="00F90FDF">
        <w:rPr>
          <w:rFonts w:ascii="Bookman Old Style" w:eastAsia="Times New Roman" w:hAnsi="Bookman Old Style"/>
        </w:rPr>
        <w:t xml:space="preserve">Per il funzionamento dell'Osservatorio e per la corresponsione dei compensi ai suoi membri, viene autorizzata la spesa di euro </w:t>
      </w:r>
      <w:r w:rsidRPr="00F90FDF">
        <w:rPr>
          <w:rFonts w:ascii="Bookman Old Style" w:hAnsi="Bookman Old Style"/>
        </w:rPr>
        <w:t xml:space="preserve">50.000 per l'anno 2023 e di euro 150.000 annui a decorrere dall'anno 2024. </w:t>
      </w:r>
    </w:p>
    <w:p w14:paraId="1FB0878C" w14:textId="77777777" w:rsidR="00DC511A" w:rsidRPr="00F90FDF" w:rsidRDefault="00DC511A" w:rsidP="00003D2D">
      <w:pPr>
        <w:spacing w:after="120"/>
        <w:jc w:val="both"/>
        <w:rPr>
          <w:rFonts w:ascii="Bookman Old Style" w:eastAsia="Times New Roman" w:hAnsi="Bookman Old Style"/>
        </w:rPr>
      </w:pPr>
    </w:p>
    <w:p w14:paraId="23574538" w14:textId="3038F50D" w:rsidR="001832FA" w:rsidRPr="00C768D0" w:rsidRDefault="00865228" w:rsidP="00FA7D9C">
      <w:pPr>
        <w:pStyle w:val="Paragrafoelenco"/>
        <w:numPr>
          <w:ilvl w:val="0"/>
          <w:numId w:val="1"/>
        </w:numPr>
        <w:jc w:val="both"/>
        <w:rPr>
          <w:rFonts w:ascii="Bookman Old Style" w:eastAsiaTheme="majorEastAsia" w:hAnsi="Bookman Old Style" w:cstheme="majorBidi"/>
          <w:b/>
          <w:bCs/>
          <w:color w:val="FF0000"/>
          <w:kern w:val="2"/>
        </w:rPr>
      </w:pPr>
      <w:r w:rsidRPr="00C768D0">
        <w:rPr>
          <w:rFonts w:ascii="Bookman Old Style" w:eastAsiaTheme="majorEastAsia" w:hAnsi="Bookman Old Style" w:cstheme="majorBidi"/>
          <w:b/>
          <w:bCs/>
          <w:color w:val="FF0000"/>
          <w:kern w:val="2"/>
        </w:rPr>
        <w:t>Semplificazione delle procedure per l’attuazione delle misure per fronteggiare gli aumenti eccezionali dei prezzi dei materiali da costruzione</w:t>
      </w:r>
      <w:r w:rsidR="00F414DF" w:rsidRPr="00C768D0">
        <w:rPr>
          <w:rFonts w:ascii="Bookman Old Style" w:eastAsiaTheme="majorEastAsia" w:hAnsi="Bookman Old Style" w:cstheme="majorBidi"/>
          <w:b/>
          <w:bCs/>
          <w:color w:val="FF0000"/>
          <w:kern w:val="2"/>
        </w:rPr>
        <w:t xml:space="preserve"> (Art. 11)</w:t>
      </w:r>
    </w:p>
    <w:p w14:paraId="78EDA1AC" w14:textId="2E7C3F0F" w:rsidR="00CD2EED" w:rsidRPr="00F90FDF" w:rsidRDefault="001832FA" w:rsidP="001832FA">
      <w:pPr>
        <w:spacing w:after="120"/>
        <w:jc w:val="both"/>
        <w:rPr>
          <w:rFonts w:ascii="Bookman Old Style" w:eastAsia="Times New Roman" w:hAnsi="Bookman Old Style"/>
        </w:rPr>
      </w:pPr>
      <w:r w:rsidRPr="00F90FDF">
        <w:rPr>
          <w:rFonts w:ascii="Bookman Old Style" w:eastAsia="Times New Roman" w:hAnsi="Bookman Old Style"/>
        </w:rPr>
        <w:t xml:space="preserve">La norma </w:t>
      </w:r>
      <w:r w:rsidR="00A37C57">
        <w:rPr>
          <w:rFonts w:ascii="Bookman Old Style" w:eastAsia="Times New Roman" w:hAnsi="Bookman Old Style"/>
        </w:rPr>
        <w:t>modifica</w:t>
      </w:r>
      <w:r w:rsidR="00CD2EED" w:rsidRPr="00F90FDF">
        <w:rPr>
          <w:rFonts w:ascii="Bookman Old Style" w:eastAsia="Times New Roman" w:hAnsi="Bookman Old Style"/>
        </w:rPr>
        <w:t xml:space="preserve"> le procedure per l’attuazione delle misure di contrasto “caro materiali”</w:t>
      </w:r>
      <w:r w:rsidR="00DA2F42">
        <w:rPr>
          <w:rFonts w:ascii="Bookman Old Style" w:eastAsia="Times New Roman" w:hAnsi="Bookman Old Style"/>
        </w:rPr>
        <w:t>.</w:t>
      </w:r>
      <w:r w:rsidR="00CD2EED" w:rsidRPr="00F90FDF">
        <w:rPr>
          <w:rFonts w:ascii="Bookman Old Style" w:eastAsia="Times New Roman" w:hAnsi="Bookman Old Style"/>
        </w:rPr>
        <w:t xml:space="preserve"> </w:t>
      </w:r>
      <w:r w:rsidR="00DA2F42">
        <w:rPr>
          <w:rFonts w:ascii="Bookman Old Style" w:eastAsia="Times New Roman" w:hAnsi="Bookman Old Style"/>
        </w:rPr>
        <w:t>I</w:t>
      </w:r>
      <w:r w:rsidR="008B7313">
        <w:rPr>
          <w:rFonts w:ascii="Bookman Old Style" w:eastAsia="Times New Roman" w:hAnsi="Bookman Old Style"/>
        </w:rPr>
        <w:t>n particolare</w:t>
      </w:r>
      <w:r w:rsidR="00DA2F42">
        <w:rPr>
          <w:rFonts w:ascii="Bookman Old Style" w:eastAsia="Times New Roman" w:hAnsi="Bookman Old Style"/>
        </w:rPr>
        <w:t>,</w:t>
      </w:r>
      <w:r w:rsidR="00CD2EED" w:rsidRPr="00F90FDF">
        <w:rPr>
          <w:rFonts w:ascii="Bookman Old Style" w:eastAsia="Times New Roman" w:hAnsi="Bookman Old Style"/>
        </w:rPr>
        <w:t xml:space="preserve"> dispone che il Ministero delle Infrastrutture e dei Trasporti svolga controlli, anche a campione, sulle istanze presentate agli interventi per i progetti che beneficiano delle risorse del Fondo dell’adeguamento dei prezzi.</w:t>
      </w:r>
    </w:p>
    <w:p w14:paraId="69D04DF1" w14:textId="62B43903" w:rsidR="00B869CE" w:rsidRPr="00F90FDF" w:rsidRDefault="00B869CE" w:rsidP="008576E2">
      <w:pPr>
        <w:spacing w:after="120"/>
        <w:jc w:val="both"/>
        <w:rPr>
          <w:rFonts w:ascii="Bookman Old Style" w:eastAsia="Times New Roman" w:hAnsi="Bookman Old Style"/>
        </w:rPr>
      </w:pPr>
    </w:p>
    <w:p w14:paraId="0BDCB7A7" w14:textId="75D30319" w:rsidR="005535C2" w:rsidRPr="00C768D0" w:rsidRDefault="005535C2" w:rsidP="00061FB9">
      <w:pPr>
        <w:pStyle w:val="Paragrafoelenco"/>
        <w:numPr>
          <w:ilvl w:val="0"/>
          <w:numId w:val="1"/>
        </w:numPr>
        <w:jc w:val="both"/>
        <w:rPr>
          <w:rFonts w:ascii="Bookman Old Style" w:eastAsiaTheme="majorEastAsia" w:hAnsi="Bookman Old Style" w:cstheme="majorBidi"/>
          <w:b/>
          <w:bCs/>
          <w:color w:val="FF0000"/>
          <w:kern w:val="2"/>
        </w:rPr>
      </w:pPr>
      <w:r w:rsidRPr="00C768D0">
        <w:rPr>
          <w:rFonts w:ascii="Bookman Old Style" w:eastAsiaTheme="majorEastAsia" w:hAnsi="Bookman Old Style" w:cstheme="majorBidi"/>
          <w:b/>
          <w:bCs/>
          <w:color w:val="FF0000"/>
          <w:kern w:val="2"/>
        </w:rPr>
        <w:t>Conversione del permesso di soggiorno per motivi di studio in permesso di soggiorno per motivi di lavoro (Art. 24, comma 5)</w:t>
      </w:r>
    </w:p>
    <w:p w14:paraId="174444EA" w14:textId="1E4D2970" w:rsidR="005535C2" w:rsidRPr="00F90FDF" w:rsidRDefault="005535C2" w:rsidP="00061FB9">
      <w:pPr>
        <w:jc w:val="both"/>
        <w:rPr>
          <w:rFonts w:ascii="Bookman Old Style" w:eastAsia="Times New Roman" w:hAnsi="Bookman Old Style"/>
        </w:rPr>
      </w:pPr>
      <w:r w:rsidRPr="00F90FDF">
        <w:rPr>
          <w:rFonts w:ascii="Bookman Old Style" w:hAnsi="Bookman Old Style"/>
        </w:rPr>
        <w:t>La norma</w:t>
      </w:r>
      <w:r w:rsidRPr="00F90FDF">
        <w:rPr>
          <w:rFonts w:ascii="Bookman Old Style" w:hAnsi="Bookman Old Style"/>
          <w:b/>
          <w:bCs/>
        </w:rPr>
        <w:t xml:space="preserve"> </w:t>
      </w:r>
      <w:r w:rsidRPr="00F90FDF">
        <w:rPr>
          <w:rFonts w:ascii="Bookman Old Style" w:hAnsi="Bookman Old Style"/>
        </w:rPr>
        <w:t xml:space="preserve">prevede che il </w:t>
      </w:r>
      <w:r w:rsidRPr="00F90FDF">
        <w:rPr>
          <w:rFonts w:ascii="Bookman Old Style" w:hAnsi="Bookman Old Style"/>
          <w:b/>
          <w:bCs/>
        </w:rPr>
        <w:t>permesso di soggiorno</w:t>
      </w:r>
      <w:r w:rsidR="00054196">
        <w:rPr>
          <w:rFonts w:ascii="Bookman Old Style" w:hAnsi="Bookman Old Style"/>
          <w:b/>
          <w:bCs/>
        </w:rPr>
        <w:t>,</w:t>
      </w:r>
      <w:r w:rsidRPr="00F90FDF">
        <w:rPr>
          <w:rFonts w:ascii="Bookman Old Style" w:hAnsi="Bookman Old Style"/>
          <w:b/>
          <w:bCs/>
        </w:rPr>
        <w:t xml:space="preserve"> </w:t>
      </w:r>
      <w:r w:rsidRPr="00F90FDF">
        <w:rPr>
          <w:rFonts w:ascii="Bookman Old Style" w:hAnsi="Bookman Old Style"/>
        </w:rPr>
        <w:t xml:space="preserve">rilasciato allo straniero di un Paese terzo per motivi di </w:t>
      </w:r>
      <w:r w:rsidRPr="00F90FDF">
        <w:rPr>
          <w:rFonts w:ascii="Bookman Old Style" w:hAnsi="Bookman Old Style"/>
          <w:b/>
          <w:bCs/>
        </w:rPr>
        <w:t>studio</w:t>
      </w:r>
      <w:r w:rsidR="00054196">
        <w:rPr>
          <w:rFonts w:ascii="Bookman Old Style" w:hAnsi="Bookman Old Style"/>
          <w:b/>
          <w:bCs/>
        </w:rPr>
        <w:t>,</w:t>
      </w:r>
      <w:r w:rsidRPr="00F90FDF">
        <w:rPr>
          <w:rFonts w:ascii="Bookman Old Style" w:hAnsi="Bookman Old Style"/>
          <w:b/>
          <w:bCs/>
        </w:rPr>
        <w:t xml:space="preserve"> </w:t>
      </w:r>
      <w:r w:rsidRPr="00F90FDF">
        <w:rPr>
          <w:rFonts w:ascii="Bookman Old Style" w:hAnsi="Bookman Old Style"/>
        </w:rPr>
        <w:t xml:space="preserve">possa essere convertito in permesso di soggiorno per motivi di </w:t>
      </w:r>
      <w:r w:rsidRPr="00F90FDF">
        <w:rPr>
          <w:rFonts w:ascii="Bookman Old Style" w:hAnsi="Bookman Old Style"/>
          <w:b/>
          <w:bCs/>
        </w:rPr>
        <w:t>lavoro</w:t>
      </w:r>
      <w:r w:rsidR="00CC3F3E">
        <w:rPr>
          <w:rFonts w:ascii="Bookman Old Style" w:hAnsi="Bookman Old Style"/>
          <w:b/>
          <w:bCs/>
        </w:rPr>
        <w:t>,</w:t>
      </w:r>
      <w:r w:rsidRPr="00F90FDF">
        <w:rPr>
          <w:rFonts w:ascii="Bookman Old Style" w:hAnsi="Bookman Old Style"/>
          <w:b/>
          <w:bCs/>
        </w:rPr>
        <w:t xml:space="preserve"> </w:t>
      </w:r>
      <w:r w:rsidRPr="00F90FDF">
        <w:rPr>
          <w:rFonts w:ascii="Bookman Old Style" w:hAnsi="Bookman Old Style"/>
        </w:rPr>
        <w:t xml:space="preserve">al di </w:t>
      </w:r>
      <w:r w:rsidRPr="00F90FDF">
        <w:rPr>
          <w:rFonts w:ascii="Bookman Old Style" w:hAnsi="Bookman Old Style"/>
          <w:b/>
          <w:bCs/>
        </w:rPr>
        <w:t xml:space="preserve">fuori del sistema delle quote massime </w:t>
      </w:r>
      <w:r w:rsidRPr="00F90FDF">
        <w:rPr>
          <w:rFonts w:ascii="Bookman Old Style" w:hAnsi="Bookman Old Style"/>
        </w:rPr>
        <w:t>di stranieri da ammettere nel territorio dello Stato per lavoro subordinato</w:t>
      </w:r>
      <w:r w:rsidR="00CC3F3E">
        <w:rPr>
          <w:rFonts w:ascii="Bookman Old Style" w:hAnsi="Bookman Old Style"/>
        </w:rPr>
        <w:t>,</w:t>
      </w:r>
      <w:r w:rsidRPr="00F90FDF">
        <w:rPr>
          <w:rFonts w:ascii="Bookman Old Style" w:hAnsi="Bookman Old Style"/>
        </w:rPr>
        <w:t xml:space="preserve"> definite con il decreto flussi annuale</w:t>
      </w:r>
      <w:r w:rsidR="009858A7" w:rsidRPr="00F90FDF">
        <w:rPr>
          <w:rFonts w:ascii="Bookman Old Style" w:hAnsi="Bookman Old Style"/>
        </w:rPr>
        <w:t>.</w:t>
      </w:r>
    </w:p>
    <w:p w14:paraId="7A78B20B" w14:textId="77777777" w:rsidR="005535C2" w:rsidRPr="00F90FDF" w:rsidRDefault="005535C2" w:rsidP="008576E2">
      <w:pPr>
        <w:spacing w:after="120"/>
        <w:jc w:val="both"/>
        <w:rPr>
          <w:rFonts w:ascii="Bookman Old Style" w:eastAsia="Times New Roman" w:hAnsi="Bookman Old Style"/>
        </w:rPr>
      </w:pPr>
    </w:p>
    <w:p w14:paraId="6A4659B0" w14:textId="6F803334" w:rsidR="006F19D4" w:rsidRPr="00C768D0" w:rsidRDefault="006F19D4" w:rsidP="00042B16">
      <w:pPr>
        <w:pStyle w:val="Default"/>
        <w:numPr>
          <w:ilvl w:val="0"/>
          <w:numId w:val="1"/>
        </w:numPr>
        <w:rPr>
          <w:rFonts w:ascii="Bookman Old Style" w:eastAsiaTheme="majorEastAsia" w:hAnsi="Bookman Old Style" w:cstheme="majorBidi"/>
          <w:b/>
          <w:bCs/>
          <w:color w:val="FF0000"/>
          <w:kern w:val="2"/>
          <w:sz w:val="22"/>
          <w:szCs w:val="22"/>
        </w:rPr>
      </w:pPr>
      <w:r w:rsidRPr="00C768D0">
        <w:rPr>
          <w:rFonts w:ascii="Bookman Old Style" w:eastAsiaTheme="majorEastAsia" w:hAnsi="Bookman Old Style" w:cstheme="majorBidi"/>
          <w:b/>
          <w:bCs/>
          <w:color w:val="FF0000"/>
          <w:kern w:val="2"/>
          <w:sz w:val="22"/>
          <w:szCs w:val="22"/>
        </w:rPr>
        <w:t>Assunzioni lavoratori stranieri</w:t>
      </w:r>
      <w:r w:rsidR="00042B16" w:rsidRPr="00C768D0">
        <w:rPr>
          <w:rFonts w:ascii="Bookman Old Style" w:eastAsiaTheme="majorEastAsia" w:hAnsi="Bookman Old Style" w:cstheme="majorBidi"/>
          <w:b/>
          <w:bCs/>
          <w:color w:val="FF0000"/>
          <w:kern w:val="2"/>
          <w:sz w:val="22"/>
          <w:szCs w:val="22"/>
        </w:rPr>
        <w:t xml:space="preserve"> (Art. 24, comma 5-bis)</w:t>
      </w:r>
    </w:p>
    <w:p w14:paraId="330C3065" w14:textId="3E9AD9E9" w:rsidR="006F19D4" w:rsidRPr="00F90FDF" w:rsidRDefault="00042B16" w:rsidP="006F19D4">
      <w:pPr>
        <w:spacing w:after="120"/>
        <w:jc w:val="both"/>
        <w:rPr>
          <w:rFonts w:ascii="Bookman Old Style" w:eastAsia="Times New Roman" w:hAnsi="Bookman Old Style"/>
        </w:rPr>
      </w:pPr>
      <w:r w:rsidRPr="00F90FDF">
        <w:rPr>
          <w:rFonts w:ascii="Bookman Old Style" w:hAnsi="Bookman Old Style"/>
        </w:rPr>
        <w:t xml:space="preserve">La norma introdotta durante l’esame parlamentare </w:t>
      </w:r>
      <w:r w:rsidR="006F19D4" w:rsidRPr="00F90FDF">
        <w:rPr>
          <w:rFonts w:ascii="Bookman Old Style" w:hAnsi="Bookman Old Style"/>
        </w:rPr>
        <w:t>autorizza il soggiorno in Italia, al di fuori del meccanismo delle quote, dei lavoratori che siano stati dipendenti per almeno dodici mesi nell’arco dei quarantotto mesi antecedenti alla richiesta, di imprese aventi sede in Italia, ovvero di società da queste partecipate, operanti in Stati e territori non appartenenti all’Unione europea. Questi lavoratori dovranno essere impiegati nelle sedi delle medesime imprese o società presenti nel territorio italiano.</w:t>
      </w:r>
    </w:p>
    <w:p w14:paraId="50C479C9" w14:textId="77777777" w:rsidR="007126D9" w:rsidRPr="00DA2F42" w:rsidRDefault="007126D9" w:rsidP="00DA2F42">
      <w:pPr>
        <w:spacing w:after="120"/>
        <w:jc w:val="both"/>
        <w:rPr>
          <w:rFonts w:ascii="Bookman Old Style" w:hAnsi="Bookman Old Style"/>
        </w:rPr>
      </w:pPr>
    </w:p>
    <w:p w14:paraId="6D98FCDF" w14:textId="7FEDD615" w:rsidR="000826FC" w:rsidRPr="00C768D0" w:rsidRDefault="000826FC" w:rsidP="00061FB9">
      <w:pPr>
        <w:pStyle w:val="Paragrafoelenco"/>
        <w:numPr>
          <w:ilvl w:val="0"/>
          <w:numId w:val="1"/>
        </w:numPr>
        <w:jc w:val="both"/>
        <w:rPr>
          <w:rFonts w:ascii="Bookman Old Style" w:eastAsiaTheme="majorEastAsia" w:hAnsi="Bookman Old Style" w:cstheme="majorBidi"/>
          <w:b/>
          <w:bCs/>
          <w:color w:val="FF0000"/>
          <w:kern w:val="2"/>
        </w:rPr>
      </w:pPr>
      <w:r w:rsidRPr="00C768D0">
        <w:rPr>
          <w:rFonts w:ascii="Bookman Old Style" w:eastAsiaTheme="majorEastAsia" w:hAnsi="Bookman Old Style" w:cstheme="majorBidi"/>
          <w:b/>
          <w:bCs/>
          <w:color w:val="FF0000"/>
          <w:kern w:val="2"/>
        </w:rPr>
        <w:t xml:space="preserve">Stabilizzazione tirocinanti </w:t>
      </w:r>
      <w:r w:rsidR="00B21E2A" w:rsidRPr="00C768D0">
        <w:rPr>
          <w:rFonts w:ascii="Bookman Old Style" w:eastAsiaTheme="majorEastAsia" w:hAnsi="Bookman Old Style" w:cstheme="majorBidi"/>
          <w:b/>
          <w:bCs/>
          <w:color w:val="FF0000"/>
          <w:kern w:val="2"/>
        </w:rPr>
        <w:t xml:space="preserve">regione Calabria </w:t>
      </w:r>
      <w:r w:rsidR="0010546E" w:rsidRPr="00C768D0">
        <w:rPr>
          <w:rFonts w:ascii="Bookman Old Style" w:eastAsiaTheme="majorEastAsia" w:hAnsi="Bookman Old Style" w:cstheme="majorBidi"/>
          <w:b/>
          <w:bCs/>
          <w:color w:val="FF0000"/>
          <w:kern w:val="2"/>
        </w:rPr>
        <w:t>(art. 28, comma 1</w:t>
      </w:r>
      <w:r w:rsidR="00665814" w:rsidRPr="00C768D0">
        <w:rPr>
          <w:rFonts w:ascii="Bookman Old Style" w:eastAsiaTheme="majorEastAsia" w:hAnsi="Bookman Old Style" w:cstheme="majorBidi"/>
          <w:b/>
          <w:bCs/>
          <w:color w:val="FF0000"/>
          <w:kern w:val="2"/>
        </w:rPr>
        <w:t>, lett. a))</w:t>
      </w:r>
    </w:p>
    <w:p w14:paraId="3C062DCA" w14:textId="5E0EE8DA" w:rsidR="00150B8F" w:rsidRPr="002F2D3F" w:rsidRDefault="0010546E" w:rsidP="00061FB9">
      <w:pPr>
        <w:jc w:val="both"/>
        <w:rPr>
          <w:rFonts w:ascii="Bookman Old Style" w:hAnsi="Bookman Old Style"/>
        </w:rPr>
      </w:pPr>
      <w:r w:rsidRPr="002F2D3F">
        <w:rPr>
          <w:rFonts w:ascii="Bookman Old Style" w:hAnsi="Bookman Old Style"/>
        </w:rPr>
        <w:t>La norma</w:t>
      </w:r>
      <w:r w:rsidR="00282105">
        <w:rPr>
          <w:rFonts w:ascii="Bookman Old Style" w:hAnsi="Bookman Old Style"/>
        </w:rPr>
        <w:t>,</w:t>
      </w:r>
      <w:r w:rsidRPr="002F2D3F">
        <w:rPr>
          <w:rFonts w:ascii="Bookman Old Style" w:hAnsi="Bookman Old Style"/>
        </w:rPr>
        <w:t xml:space="preserve"> </w:t>
      </w:r>
      <w:r w:rsidRPr="002F2D3F">
        <w:rPr>
          <w:rFonts w:ascii="Bookman Old Style" w:hAnsi="Bookman Old Style"/>
          <w:b/>
          <w:bCs/>
        </w:rPr>
        <w:t>modificata durante l’esame parlamentare</w:t>
      </w:r>
      <w:r w:rsidR="00282105">
        <w:rPr>
          <w:rFonts w:ascii="Bookman Old Style" w:hAnsi="Bookman Old Style"/>
          <w:b/>
          <w:bCs/>
        </w:rPr>
        <w:t>,</w:t>
      </w:r>
      <w:r w:rsidRPr="002F2D3F">
        <w:rPr>
          <w:rFonts w:ascii="Bookman Old Style" w:hAnsi="Bookman Old Style"/>
          <w:b/>
          <w:bCs/>
        </w:rPr>
        <w:t xml:space="preserve"> cambia le modalità (da superamento di prova selettiva a procedura concorsuale con una riserva del 50 per cento dei posti</w:t>
      </w:r>
      <w:r w:rsidRPr="002F2D3F">
        <w:rPr>
          <w:rFonts w:ascii="Bookman Old Style" w:hAnsi="Bookman Old Style"/>
        </w:rPr>
        <w:t>) attraverso le quali le amministrazioni comunali della regione Calabria sono autorizzate ad inquadrare</w:t>
      </w:r>
      <w:r w:rsidR="00282105">
        <w:rPr>
          <w:rFonts w:ascii="Bookman Old Style" w:hAnsi="Bookman Old Style"/>
        </w:rPr>
        <w:t>,</w:t>
      </w:r>
      <w:r w:rsidRPr="002F2D3F">
        <w:rPr>
          <w:rFonts w:ascii="Bookman Old Style" w:hAnsi="Bookman Old Style"/>
        </w:rPr>
        <w:t xml:space="preserve"> nelle relative piante organiche</w:t>
      </w:r>
      <w:r w:rsidR="00282105">
        <w:rPr>
          <w:rFonts w:ascii="Bookman Old Style" w:hAnsi="Bookman Old Style"/>
        </w:rPr>
        <w:t>,</w:t>
      </w:r>
      <w:r w:rsidRPr="002F2D3F">
        <w:rPr>
          <w:rFonts w:ascii="Bookman Old Style" w:hAnsi="Bookman Old Style"/>
        </w:rPr>
        <w:t xml:space="preserve"> i </w:t>
      </w:r>
      <w:r w:rsidRPr="002F2D3F">
        <w:rPr>
          <w:rFonts w:ascii="Bookman Old Style" w:hAnsi="Bookman Old Style"/>
          <w:b/>
          <w:bCs/>
        </w:rPr>
        <w:t xml:space="preserve">tirocinanti </w:t>
      </w:r>
      <w:r w:rsidRPr="002F2D3F">
        <w:rPr>
          <w:rFonts w:ascii="Bookman Old Style" w:hAnsi="Bookman Old Style"/>
        </w:rPr>
        <w:t xml:space="preserve">rientranti in </w:t>
      </w:r>
      <w:r w:rsidRPr="002F2D3F">
        <w:rPr>
          <w:rFonts w:ascii="Bookman Old Style" w:hAnsi="Bookman Old Style"/>
        </w:rPr>
        <w:lastRenderedPageBreak/>
        <w:t>percorsi di inclusione sociale rivolti a disoccupati già percettori di trattamenti di mobilità in deroga</w:t>
      </w:r>
      <w:r w:rsidR="00506402">
        <w:rPr>
          <w:rFonts w:ascii="Bookman Old Style" w:hAnsi="Bookman Old Style"/>
        </w:rPr>
        <w:t>.</w:t>
      </w:r>
    </w:p>
    <w:p w14:paraId="1F3CFF06" w14:textId="77777777" w:rsidR="00A3522F" w:rsidRDefault="00A3522F" w:rsidP="002F2D3F">
      <w:pPr>
        <w:pStyle w:val="Paragrafoelenco"/>
        <w:spacing w:after="120"/>
        <w:jc w:val="both"/>
        <w:rPr>
          <w:rFonts w:ascii="Bookman Old Style" w:hAnsi="Bookman Old Style"/>
          <w:b/>
          <w:bCs/>
        </w:rPr>
      </w:pPr>
    </w:p>
    <w:p w14:paraId="2102EACF" w14:textId="4C05E1F0" w:rsidR="002E5181" w:rsidRPr="00C768D0" w:rsidRDefault="0010546E" w:rsidP="00061FB9">
      <w:pPr>
        <w:pStyle w:val="Paragrafoelenco"/>
        <w:numPr>
          <w:ilvl w:val="0"/>
          <w:numId w:val="1"/>
        </w:numPr>
        <w:jc w:val="both"/>
        <w:rPr>
          <w:rFonts w:ascii="Bookman Old Style" w:eastAsiaTheme="majorEastAsia" w:hAnsi="Bookman Old Style" w:cstheme="majorBidi"/>
          <w:b/>
          <w:bCs/>
          <w:color w:val="FF0000"/>
          <w:kern w:val="2"/>
        </w:rPr>
      </w:pPr>
      <w:r w:rsidRPr="00C768D0">
        <w:rPr>
          <w:rFonts w:ascii="Bookman Old Style" w:eastAsiaTheme="majorEastAsia" w:hAnsi="Bookman Old Style" w:cstheme="majorBidi"/>
          <w:b/>
          <w:bCs/>
          <w:color w:val="FF0000"/>
          <w:kern w:val="2"/>
        </w:rPr>
        <w:t>A</w:t>
      </w:r>
      <w:r w:rsidR="00B21E2A" w:rsidRPr="00C768D0">
        <w:rPr>
          <w:rFonts w:ascii="Bookman Old Style" w:eastAsiaTheme="majorEastAsia" w:hAnsi="Bookman Old Style" w:cstheme="majorBidi"/>
          <w:b/>
          <w:bCs/>
          <w:color w:val="FF0000"/>
          <w:kern w:val="2"/>
        </w:rPr>
        <w:t xml:space="preserve">ssunzioni giovani </w:t>
      </w:r>
      <w:r w:rsidRPr="00C768D0">
        <w:rPr>
          <w:rFonts w:ascii="Bookman Old Style" w:eastAsiaTheme="majorEastAsia" w:hAnsi="Bookman Old Style" w:cstheme="majorBidi"/>
          <w:b/>
          <w:bCs/>
          <w:color w:val="FF0000"/>
          <w:kern w:val="2"/>
        </w:rPr>
        <w:t xml:space="preserve">talenti </w:t>
      </w:r>
      <w:r w:rsidR="00B21E2A" w:rsidRPr="00C768D0">
        <w:rPr>
          <w:rFonts w:ascii="Bookman Old Style" w:eastAsiaTheme="majorEastAsia" w:hAnsi="Bookman Old Style" w:cstheme="majorBidi"/>
          <w:b/>
          <w:bCs/>
          <w:color w:val="FF0000"/>
          <w:kern w:val="2"/>
        </w:rPr>
        <w:t>nella pubblica amministrazione (Art. 28, comma 1</w:t>
      </w:r>
      <w:r w:rsidR="00C04CB7" w:rsidRPr="00C768D0">
        <w:rPr>
          <w:rFonts w:ascii="Bookman Old Style" w:eastAsiaTheme="majorEastAsia" w:hAnsi="Bookman Old Style" w:cstheme="majorBidi"/>
          <w:b/>
          <w:bCs/>
          <w:color w:val="FF0000"/>
          <w:kern w:val="2"/>
        </w:rPr>
        <w:t>, lett. b), n. 2-bis</w:t>
      </w:r>
      <w:r w:rsidR="00B21E2A" w:rsidRPr="00C768D0">
        <w:rPr>
          <w:rFonts w:ascii="Bookman Old Style" w:eastAsiaTheme="majorEastAsia" w:hAnsi="Bookman Old Style" w:cstheme="majorBidi"/>
          <w:b/>
          <w:bCs/>
          <w:color w:val="FF0000"/>
          <w:kern w:val="2"/>
        </w:rPr>
        <w:t>)</w:t>
      </w:r>
    </w:p>
    <w:p w14:paraId="1F7B4F7D" w14:textId="2626BE54" w:rsidR="002E5181" w:rsidRPr="00F90FDF" w:rsidRDefault="002E5181" w:rsidP="00061FB9">
      <w:pPr>
        <w:jc w:val="both"/>
        <w:rPr>
          <w:rFonts w:ascii="Bookman Old Style" w:hAnsi="Bookman Old Style"/>
        </w:rPr>
      </w:pPr>
      <w:r w:rsidRPr="00F90FDF">
        <w:rPr>
          <w:rFonts w:ascii="Bookman Old Style" w:hAnsi="Bookman Old Style"/>
        </w:rPr>
        <w:t>La norma</w:t>
      </w:r>
      <w:r w:rsidR="00E32BDD" w:rsidRPr="00F90FDF">
        <w:rPr>
          <w:rFonts w:ascii="Bookman Old Style" w:hAnsi="Bookman Old Style"/>
        </w:rPr>
        <w:t>,</w:t>
      </w:r>
      <w:r w:rsidRPr="00F90FDF">
        <w:rPr>
          <w:rFonts w:ascii="Bookman Old Style" w:hAnsi="Bookman Old Style"/>
        </w:rPr>
        <w:t xml:space="preserve"> introdotta </w:t>
      </w:r>
      <w:r w:rsidR="00AE4D12" w:rsidRPr="00F90FDF">
        <w:rPr>
          <w:rFonts w:ascii="Bookman Old Style" w:hAnsi="Bookman Old Style"/>
        </w:rPr>
        <w:t>durante l’esame i</w:t>
      </w:r>
      <w:r w:rsidRPr="00F90FDF">
        <w:rPr>
          <w:rFonts w:ascii="Bookman Old Style" w:hAnsi="Bookman Old Style"/>
        </w:rPr>
        <w:t xml:space="preserve">n sede </w:t>
      </w:r>
      <w:r w:rsidR="00B9638C" w:rsidRPr="00F90FDF">
        <w:rPr>
          <w:rFonts w:ascii="Bookman Old Style" w:hAnsi="Bookman Old Style"/>
        </w:rPr>
        <w:t>parlamentare</w:t>
      </w:r>
      <w:r w:rsidRPr="00F90FDF">
        <w:rPr>
          <w:rFonts w:ascii="Bookman Old Style" w:hAnsi="Bookman Old Style"/>
        </w:rPr>
        <w:t xml:space="preserve"> </w:t>
      </w:r>
      <w:r w:rsidRPr="00F90FDF">
        <w:rPr>
          <w:rFonts w:ascii="Bookman Old Style" w:hAnsi="Bookman Old Style"/>
          <w:b/>
          <w:bCs/>
        </w:rPr>
        <w:t>su proposta dell’ANCI</w:t>
      </w:r>
      <w:r w:rsidR="00E32BDD" w:rsidRPr="00F90FDF">
        <w:rPr>
          <w:rFonts w:ascii="Bookman Old Style" w:hAnsi="Bookman Old Style"/>
        </w:rPr>
        <w:t>, r</w:t>
      </w:r>
      <w:r w:rsidRPr="00F90FDF">
        <w:rPr>
          <w:rFonts w:ascii="Bookman Old Style" w:hAnsi="Bookman Old Style"/>
        </w:rPr>
        <w:t xml:space="preserve">iguarda i contratti di apprendistato e formazione lavoro e amplia le possibilità di utilizzare le misure per favorire il reclutamento dei giovani nella pubblica amministrazione, previsto dall’art. 3-ter del D.L. n. 44/2023. </w:t>
      </w:r>
      <w:r w:rsidR="0062613E" w:rsidRPr="00F90FDF">
        <w:rPr>
          <w:rFonts w:ascii="Bookman Old Style" w:hAnsi="Bookman Old Style"/>
        </w:rPr>
        <w:t>I</w:t>
      </w:r>
      <w:r w:rsidRPr="00F90FDF">
        <w:rPr>
          <w:rFonts w:ascii="Bookman Old Style" w:hAnsi="Bookman Old Style"/>
        </w:rPr>
        <w:t>n particolare</w:t>
      </w:r>
      <w:r w:rsidR="00773924" w:rsidRPr="00F90FDF">
        <w:rPr>
          <w:rFonts w:ascii="Bookman Old Style" w:hAnsi="Bookman Old Style"/>
        </w:rPr>
        <w:t>, grazie all’emendamento ANCI, per i Comuni, le Unioni di Comuni e le Città metropolitane:</w:t>
      </w:r>
    </w:p>
    <w:p w14:paraId="52CF8A9A" w14:textId="6BDDDFFB" w:rsidR="002E5181" w:rsidRPr="00F90FDF" w:rsidRDefault="009634E6" w:rsidP="0025774F">
      <w:pPr>
        <w:spacing w:after="120"/>
        <w:jc w:val="both"/>
        <w:rPr>
          <w:rFonts w:ascii="Bookman Old Style" w:hAnsi="Bookman Old Style"/>
        </w:rPr>
      </w:pPr>
      <w:r w:rsidRPr="00F90FDF">
        <w:rPr>
          <w:rFonts w:ascii="Bookman Old Style" w:hAnsi="Bookman Old Style"/>
        </w:rPr>
        <w:t xml:space="preserve">- </w:t>
      </w:r>
      <w:r w:rsidRPr="00F90FDF">
        <w:rPr>
          <w:rFonts w:ascii="Bookman Old Style" w:hAnsi="Bookman Old Style"/>
        </w:rPr>
        <w:tab/>
      </w:r>
      <w:r w:rsidRPr="00F90FDF">
        <w:rPr>
          <w:rFonts w:ascii="Bookman Old Style" w:hAnsi="Bookman Old Style"/>
          <w:b/>
          <w:bCs/>
        </w:rPr>
        <w:t>viene raddoppiato (dal 10% al 20%) il budget</w:t>
      </w:r>
      <w:r w:rsidRPr="00F90FDF">
        <w:rPr>
          <w:rFonts w:ascii="Bookman Old Style" w:hAnsi="Bookman Old Style"/>
        </w:rPr>
        <w:t xml:space="preserve"> </w:t>
      </w:r>
      <w:proofErr w:type="spellStart"/>
      <w:r w:rsidRPr="00F90FDF">
        <w:rPr>
          <w:rFonts w:ascii="Bookman Old Style" w:hAnsi="Bookman Old Style"/>
        </w:rPr>
        <w:t>assunzionale</w:t>
      </w:r>
      <w:proofErr w:type="spellEnd"/>
      <w:r w:rsidRPr="00F90FDF">
        <w:rPr>
          <w:rFonts w:ascii="Bookman Old Style" w:hAnsi="Bookman Old Style"/>
        </w:rPr>
        <w:t xml:space="preserve"> che può essere riservato a</w:t>
      </w:r>
      <w:r w:rsidR="00CC282A" w:rsidRPr="00F90FDF">
        <w:rPr>
          <w:rFonts w:ascii="Bookman Old Style" w:hAnsi="Bookman Old Style"/>
        </w:rPr>
        <w:t xml:space="preserve">i contratti di apprendistato e di formazione lavoro </w:t>
      </w:r>
      <w:r w:rsidRPr="00F90FDF">
        <w:rPr>
          <w:rFonts w:ascii="Bookman Old Style" w:hAnsi="Bookman Old Style"/>
        </w:rPr>
        <w:t>(quindi complessivamente fino al 40%);</w:t>
      </w:r>
    </w:p>
    <w:p w14:paraId="0E76C8B4" w14:textId="4467C2A5" w:rsidR="0025774F" w:rsidRPr="00F90FDF" w:rsidRDefault="0025774F" w:rsidP="0025774F">
      <w:pPr>
        <w:spacing w:after="120"/>
        <w:jc w:val="both"/>
        <w:rPr>
          <w:rFonts w:ascii="Bookman Old Style" w:hAnsi="Bookman Old Style"/>
        </w:rPr>
      </w:pPr>
      <w:r w:rsidRPr="00F90FDF">
        <w:rPr>
          <w:rFonts w:ascii="Bookman Old Style" w:hAnsi="Bookman Old Style"/>
        </w:rPr>
        <w:t xml:space="preserve">- </w:t>
      </w:r>
      <w:r w:rsidRPr="00F90FDF">
        <w:rPr>
          <w:rFonts w:ascii="Bookman Old Style" w:hAnsi="Bookman Old Style"/>
        </w:rPr>
        <w:tab/>
        <w:t xml:space="preserve">vengono </w:t>
      </w:r>
      <w:r w:rsidRPr="00F90FDF">
        <w:rPr>
          <w:rFonts w:ascii="Bookman Old Style" w:hAnsi="Bookman Old Style"/>
          <w:b/>
          <w:bCs/>
        </w:rPr>
        <w:t>ampliate le deroghe ai limiti procedurali</w:t>
      </w:r>
      <w:r w:rsidRPr="00F90FDF">
        <w:rPr>
          <w:rFonts w:ascii="Bookman Old Style" w:hAnsi="Bookman Old Style"/>
        </w:rPr>
        <w:t xml:space="preserve">, chiarendo che per le assunzioni in questione </w:t>
      </w:r>
      <w:r w:rsidRPr="00F90FDF">
        <w:rPr>
          <w:rFonts w:ascii="Bookman Old Style" w:hAnsi="Bookman Old Style"/>
          <w:b/>
          <w:bCs/>
        </w:rPr>
        <w:t>non</w:t>
      </w:r>
      <w:r w:rsidRPr="00F90FDF">
        <w:rPr>
          <w:rFonts w:ascii="Bookman Old Style" w:hAnsi="Bookman Old Style"/>
        </w:rPr>
        <w:t xml:space="preserve"> è necessario attivare le procedure di mobilità preventiva e le </w:t>
      </w:r>
      <w:r w:rsidRPr="00F90FDF">
        <w:rPr>
          <w:rFonts w:ascii="Bookman Old Style" w:hAnsi="Bookman Old Style"/>
          <w:b/>
          <w:bCs/>
        </w:rPr>
        <w:t>deroghe ai limiti finanziari</w:t>
      </w:r>
      <w:r w:rsidRPr="00F90FDF">
        <w:rPr>
          <w:rFonts w:ascii="Bookman Old Style" w:hAnsi="Bookman Old Style"/>
        </w:rPr>
        <w:t>, specificando che è possibile incrementare la spesa per i trattamenti economici accessori dei neo assunti, anche se a tempo determinato.</w:t>
      </w:r>
    </w:p>
    <w:p w14:paraId="558D9D62" w14:textId="77777777" w:rsidR="0041485B" w:rsidRPr="00F90FDF" w:rsidRDefault="0041485B" w:rsidP="0041485B">
      <w:pPr>
        <w:spacing w:after="120"/>
        <w:jc w:val="both"/>
        <w:rPr>
          <w:rFonts w:ascii="Bookman Old Style" w:hAnsi="Bookman Old Style"/>
        </w:rPr>
      </w:pPr>
    </w:p>
    <w:p w14:paraId="533D3FF7" w14:textId="7EEFBF02" w:rsidR="0041485B" w:rsidRPr="00C768D0" w:rsidRDefault="0041485B" w:rsidP="00FC54A9">
      <w:pPr>
        <w:pStyle w:val="Paragrafoelenco"/>
        <w:numPr>
          <w:ilvl w:val="0"/>
          <w:numId w:val="1"/>
        </w:numPr>
        <w:jc w:val="both"/>
        <w:rPr>
          <w:rFonts w:ascii="Bookman Old Style" w:eastAsiaTheme="majorEastAsia" w:hAnsi="Bookman Old Style" w:cstheme="majorBidi"/>
          <w:b/>
          <w:bCs/>
          <w:color w:val="FF0000"/>
          <w:kern w:val="2"/>
        </w:rPr>
      </w:pPr>
      <w:r w:rsidRPr="00C768D0">
        <w:rPr>
          <w:rFonts w:ascii="Bookman Old Style" w:eastAsiaTheme="majorEastAsia" w:hAnsi="Bookman Old Style" w:cstheme="majorBidi"/>
          <w:b/>
          <w:bCs/>
          <w:color w:val="FF0000"/>
          <w:kern w:val="2"/>
        </w:rPr>
        <w:t>Riserva dei posti nei concorsi per dirigente comunale (Art</w:t>
      </w:r>
      <w:r w:rsidR="00252FAA" w:rsidRPr="00C768D0">
        <w:rPr>
          <w:rFonts w:ascii="Bookman Old Style" w:eastAsiaTheme="majorEastAsia" w:hAnsi="Bookman Old Style" w:cstheme="majorBidi"/>
          <w:b/>
          <w:bCs/>
          <w:color w:val="FF0000"/>
          <w:kern w:val="2"/>
        </w:rPr>
        <w:t>.</w:t>
      </w:r>
      <w:r w:rsidRPr="00C768D0">
        <w:rPr>
          <w:rFonts w:ascii="Bookman Old Style" w:eastAsiaTheme="majorEastAsia" w:hAnsi="Bookman Old Style" w:cstheme="majorBidi"/>
          <w:b/>
          <w:bCs/>
          <w:color w:val="FF0000"/>
          <w:kern w:val="2"/>
        </w:rPr>
        <w:t xml:space="preserve"> 28, comma 1-bis)</w:t>
      </w:r>
    </w:p>
    <w:p w14:paraId="58248ACB" w14:textId="3AD3CC54" w:rsidR="005D09FF" w:rsidRPr="00F90FDF" w:rsidRDefault="003A1466" w:rsidP="00014389">
      <w:pPr>
        <w:spacing w:after="120"/>
        <w:jc w:val="both"/>
        <w:rPr>
          <w:rFonts w:ascii="Bookman Old Style" w:hAnsi="Bookman Old Style"/>
        </w:rPr>
      </w:pPr>
      <w:r w:rsidRPr="00F90FDF">
        <w:rPr>
          <w:rFonts w:ascii="Bookman Old Style" w:hAnsi="Bookman Old Style"/>
        </w:rPr>
        <w:t xml:space="preserve">La </w:t>
      </w:r>
      <w:r w:rsidR="00014389" w:rsidRPr="00F90FDF">
        <w:rPr>
          <w:rFonts w:ascii="Bookman Old Style" w:hAnsi="Bookman Old Style"/>
        </w:rPr>
        <w:t>norma, introdotta</w:t>
      </w:r>
      <w:r w:rsidR="00AE4D12" w:rsidRPr="00F90FDF">
        <w:rPr>
          <w:rFonts w:ascii="Bookman Old Style" w:hAnsi="Bookman Old Style"/>
        </w:rPr>
        <w:t xml:space="preserve"> durante l’esame </w:t>
      </w:r>
      <w:r w:rsidR="00014389" w:rsidRPr="00F90FDF">
        <w:rPr>
          <w:rFonts w:ascii="Bookman Old Style" w:hAnsi="Bookman Old Style"/>
        </w:rPr>
        <w:t xml:space="preserve"> in sede </w:t>
      </w:r>
      <w:r w:rsidR="00AE4D12" w:rsidRPr="00F90FDF">
        <w:rPr>
          <w:rFonts w:ascii="Bookman Old Style" w:hAnsi="Bookman Old Style"/>
        </w:rPr>
        <w:t>parlamentare</w:t>
      </w:r>
      <w:r w:rsidR="00014389" w:rsidRPr="00F90FDF">
        <w:rPr>
          <w:rFonts w:ascii="Bookman Old Style" w:hAnsi="Bookman Old Style"/>
        </w:rPr>
        <w:t>,</w:t>
      </w:r>
      <w:r w:rsidR="005D09FF" w:rsidRPr="00F90FDF">
        <w:rPr>
          <w:rFonts w:ascii="Bookman Old Style" w:hAnsi="Bookman Old Style"/>
        </w:rPr>
        <w:t xml:space="preserve"> stabilisce che i Comuni possono prevedere, nei limiti dei posti disponibili della vigente dotazione organica, nell'ambito dei concorsi pubblici per il reclutamento di personale dirigenziale, una riserva </w:t>
      </w:r>
      <w:r w:rsidR="005D09FF" w:rsidRPr="001E7129">
        <w:rPr>
          <w:rFonts w:ascii="Bookman Old Style" w:hAnsi="Bookman Old Style"/>
          <w:u w:val="single"/>
        </w:rPr>
        <w:t>di posti non superiore al 50% da destinare al personale</w:t>
      </w:r>
      <w:r w:rsidR="00696D39" w:rsidRPr="001E7129">
        <w:rPr>
          <w:rFonts w:ascii="Bookman Old Style" w:hAnsi="Bookman Old Style"/>
          <w:u w:val="single"/>
        </w:rPr>
        <w:t xml:space="preserve"> che abbia maturato con pieno merito almeno trentasei mesi di servizio</w:t>
      </w:r>
      <w:r w:rsidR="00696D39" w:rsidRPr="00F90FDF">
        <w:rPr>
          <w:rFonts w:ascii="Bookman Old Style" w:hAnsi="Bookman Old Style"/>
        </w:rPr>
        <w:t xml:space="preserve">, anche non continuativi, </w:t>
      </w:r>
      <w:r w:rsidR="00696D39" w:rsidRPr="001E7129">
        <w:rPr>
          <w:rFonts w:ascii="Bookman Old Style" w:hAnsi="Bookman Old Style"/>
          <w:u w:val="single"/>
        </w:rPr>
        <w:t>negli ultimi cinque anni</w:t>
      </w:r>
      <w:r w:rsidR="00696D39" w:rsidRPr="00F90FDF">
        <w:rPr>
          <w:rFonts w:ascii="Bookman Old Style" w:hAnsi="Bookman Old Style"/>
        </w:rPr>
        <w:t>, e che sia stato assunto a tempo determinato previo esperimento di procedure selettive e comparative a evidenza pubblica, nonché al personale non dirigenziale che sia in servizio a tempo indeterminato per lo stesso periodo di tempo.</w:t>
      </w:r>
    </w:p>
    <w:p w14:paraId="271B29EF" w14:textId="77777777" w:rsidR="005D09FF" w:rsidRPr="00FC54A9" w:rsidRDefault="005D09FF" w:rsidP="00FC54A9">
      <w:pPr>
        <w:pStyle w:val="Paragrafoelenco"/>
        <w:jc w:val="both"/>
        <w:rPr>
          <w:rFonts w:ascii="Bookman Old Style" w:eastAsiaTheme="majorEastAsia" w:hAnsi="Bookman Old Style" w:cstheme="majorBidi"/>
          <w:b/>
          <w:bCs/>
          <w:color w:val="1F3763" w:themeColor="accent1" w:themeShade="7F"/>
          <w:kern w:val="2"/>
        </w:rPr>
      </w:pPr>
    </w:p>
    <w:p w14:paraId="2A8B2D75" w14:textId="4E7FB21A" w:rsidR="00803253" w:rsidRPr="00C768D0" w:rsidRDefault="00AD1DCF" w:rsidP="00FC54A9">
      <w:pPr>
        <w:pStyle w:val="Paragrafoelenco"/>
        <w:numPr>
          <w:ilvl w:val="0"/>
          <w:numId w:val="1"/>
        </w:numPr>
        <w:jc w:val="both"/>
        <w:rPr>
          <w:rFonts w:ascii="Bookman Old Style" w:eastAsiaTheme="majorEastAsia" w:hAnsi="Bookman Old Style" w:cstheme="majorBidi"/>
          <w:b/>
          <w:bCs/>
          <w:color w:val="FF0000"/>
          <w:kern w:val="2"/>
        </w:rPr>
      </w:pPr>
      <w:r w:rsidRPr="00C768D0">
        <w:rPr>
          <w:rFonts w:ascii="Bookman Old Style" w:eastAsiaTheme="majorEastAsia" w:hAnsi="Bookman Old Style" w:cstheme="majorBidi"/>
          <w:b/>
          <w:bCs/>
          <w:color w:val="FF0000"/>
          <w:kern w:val="2"/>
        </w:rPr>
        <w:t xml:space="preserve">Scavalco d’eccedenza </w:t>
      </w:r>
      <w:r w:rsidR="00803253" w:rsidRPr="00C768D0">
        <w:rPr>
          <w:rFonts w:ascii="Bookman Old Style" w:eastAsiaTheme="majorEastAsia" w:hAnsi="Bookman Old Style" w:cstheme="majorBidi"/>
          <w:b/>
          <w:bCs/>
          <w:color w:val="FF0000"/>
          <w:kern w:val="2"/>
        </w:rPr>
        <w:t xml:space="preserve">presso </w:t>
      </w:r>
      <w:r w:rsidR="006C67BA" w:rsidRPr="00C768D0">
        <w:rPr>
          <w:rFonts w:ascii="Bookman Old Style" w:eastAsiaTheme="majorEastAsia" w:hAnsi="Bookman Old Style" w:cstheme="majorBidi"/>
          <w:b/>
          <w:bCs/>
          <w:color w:val="FF0000"/>
          <w:kern w:val="2"/>
        </w:rPr>
        <w:t>C</w:t>
      </w:r>
      <w:r w:rsidR="00803253" w:rsidRPr="00C768D0">
        <w:rPr>
          <w:rFonts w:ascii="Bookman Old Style" w:eastAsiaTheme="majorEastAsia" w:hAnsi="Bookman Old Style" w:cstheme="majorBidi"/>
          <w:b/>
          <w:bCs/>
          <w:color w:val="FF0000"/>
          <w:kern w:val="2"/>
        </w:rPr>
        <w:t>omuni con meno di 25.000 abitanti (Art</w:t>
      </w:r>
      <w:r w:rsidR="00252FAA" w:rsidRPr="00C768D0">
        <w:rPr>
          <w:rFonts w:ascii="Bookman Old Style" w:eastAsiaTheme="majorEastAsia" w:hAnsi="Bookman Old Style" w:cstheme="majorBidi"/>
          <w:b/>
          <w:bCs/>
          <w:color w:val="FF0000"/>
          <w:kern w:val="2"/>
        </w:rPr>
        <w:t>.</w:t>
      </w:r>
      <w:r w:rsidR="00803253" w:rsidRPr="00C768D0">
        <w:rPr>
          <w:rFonts w:ascii="Bookman Old Style" w:eastAsiaTheme="majorEastAsia" w:hAnsi="Bookman Old Style" w:cstheme="majorBidi"/>
          <w:b/>
          <w:bCs/>
          <w:color w:val="FF0000"/>
          <w:kern w:val="2"/>
        </w:rPr>
        <w:t xml:space="preserve"> 28, comma 1-ter)</w:t>
      </w:r>
    </w:p>
    <w:p w14:paraId="2D9D0547" w14:textId="4008489E" w:rsidR="00803253" w:rsidRPr="00F90FDF" w:rsidRDefault="00803253" w:rsidP="00803253">
      <w:pPr>
        <w:spacing w:after="120"/>
        <w:jc w:val="both"/>
        <w:rPr>
          <w:rFonts w:ascii="Bookman Old Style" w:hAnsi="Bookman Old Style"/>
        </w:rPr>
      </w:pPr>
      <w:r w:rsidRPr="00F90FDF">
        <w:rPr>
          <w:rFonts w:ascii="Bookman Old Style" w:hAnsi="Bookman Old Style"/>
        </w:rPr>
        <w:t xml:space="preserve">La norma, introdotta </w:t>
      </w:r>
      <w:r w:rsidR="0062039A" w:rsidRPr="00F90FDF">
        <w:rPr>
          <w:rFonts w:ascii="Bookman Old Style" w:hAnsi="Bookman Old Style"/>
        </w:rPr>
        <w:t>durante l’esame in sede parlamentare</w:t>
      </w:r>
      <w:r w:rsidRPr="00F90FDF">
        <w:rPr>
          <w:rFonts w:ascii="Bookman Old Style" w:hAnsi="Bookman Old Style"/>
        </w:rPr>
        <w:t xml:space="preserve">, interviene sul comma 557 dell'articolo 1 della L.311/2004 (Legge di Bilancio 2005), con cui si prevede che, fra gli altri enti, anche i </w:t>
      </w:r>
      <w:r w:rsidR="006C67BA" w:rsidRPr="00F90FDF">
        <w:rPr>
          <w:rFonts w:ascii="Bookman Old Style" w:hAnsi="Bookman Old Style"/>
        </w:rPr>
        <w:t>C</w:t>
      </w:r>
      <w:r w:rsidRPr="00F90FDF">
        <w:rPr>
          <w:rFonts w:ascii="Bookman Old Style" w:hAnsi="Bookman Old Style"/>
        </w:rPr>
        <w:t xml:space="preserve">omuni con popolazione inferiore ai 15.000 abitanti possono servirsi dell'attività lavorativa di dipendenti a tempo pieno di altre amministrazioni locali, purché autorizzati dall'amministrazione di provenienza. La proposta approvata amplia la platea, prevedendo che tale misura si applichi ai </w:t>
      </w:r>
      <w:r w:rsidR="00B52E35">
        <w:rPr>
          <w:rFonts w:ascii="Bookman Old Style" w:hAnsi="Bookman Old Style"/>
        </w:rPr>
        <w:t>C</w:t>
      </w:r>
      <w:r w:rsidRPr="00F90FDF">
        <w:rPr>
          <w:rFonts w:ascii="Bookman Old Style" w:hAnsi="Bookman Old Style"/>
        </w:rPr>
        <w:t>omuni con popolazione inferiore ai 25.000 abitanti.</w:t>
      </w:r>
    </w:p>
    <w:p w14:paraId="77BBADA8" w14:textId="77777777" w:rsidR="000450C2" w:rsidRPr="00F90FDF" w:rsidRDefault="000450C2" w:rsidP="00803253">
      <w:pPr>
        <w:spacing w:after="120"/>
        <w:jc w:val="both"/>
        <w:rPr>
          <w:rFonts w:ascii="Bookman Old Style" w:hAnsi="Bookman Old Style"/>
        </w:rPr>
      </w:pPr>
    </w:p>
    <w:p w14:paraId="2A0B3F50" w14:textId="13E06B63" w:rsidR="000450C2" w:rsidRPr="00C768D0" w:rsidRDefault="006C67BA" w:rsidP="003B0D86">
      <w:pPr>
        <w:pStyle w:val="Paragrafoelenco"/>
        <w:numPr>
          <w:ilvl w:val="0"/>
          <w:numId w:val="1"/>
        </w:numPr>
        <w:jc w:val="both"/>
        <w:rPr>
          <w:rFonts w:ascii="Bookman Old Style" w:eastAsiaTheme="majorEastAsia" w:hAnsi="Bookman Old Style" w:cstheme="majorBidi"/>
          <w:b/>
          <w:bCs/>
          <w:color w:val="FF0000"/>
          <w:kern w:val="2"/>
        </w:rPr>
      </w:pPr>
      <w:r w:rsidRPr="00C768D0">
        <w:rPr>
          <w:rFonts w:ascii="Bookman Old Style" w:eastAsiaTheme="majorEastAsia" w:hAnsi="Bookman Old Style" w:cstheme="majorBidi"/>
          <w:b/>
          <w:bCs/>
          <w:color w:val="FF0000"/>
          <w:kern w:val="2"/>
        </w:rPr>
        <w:t>Modifica n</w:t>
      </w:r>
      <w:r w:rsidR="000450C2" w:rsidRPr="00C768D0">
        <w:rPr>
          <w:rFonts w:ascii="Bookman Old Style" w:eastAsiaTheme="majorEastAsia" w:hAnsi="Bookman Old Style" w:cstheme="majorBidi"/>
          <w:b/>
          <w:bCs/>
          <w:color w:val="FF0000"/>
          <w:kern w:val="2"/>
        </w:rPr>
        <w:t>orme</w:t>
      </w:r>
      <w:r w:rsidRPr="00C768D0">
        <w:rPr>
          <w:rFonts w:ascii="Bookman Old Style" w:eastAsiaTheme="majorEastAsia" w:hAnsi="Bookman Old Style" w:cstheme="majorBidi"/>
          <w:b/>
          <w:bCs/>
          <w:color w:val="FF0000"/>
          <w:kern w:val="2"/>
        </w:rPr>
        <w:t xml:space="preserve"> su limitazione scorrimento graduatorie</w:t>
      </w:r>
      <w:r w:rsidR="000450C2" w:rsidRPr="00C768D0">
        <w:rPr>
          <w:rFonts w:ascii="Bookman Old Style" w:eastAsiaTheme="majorEastAsia" w:hAnsi="Bookman Old Style" w:cstheme="majorBidi"/>
          <w:b/>
          <w:bCs/>
          <w:color w:val="FF0000"/>
          <w:kern w:val="2"/>
        </w:rPr>
        <w:t xml:space="preserve"> (Art</w:t>
      </w:r>
      <w:r w:rsidR="00252FAA" w:rsidRPr="00C768D0">
        <w:rPr>
          <w:rFonts w:ascii="Bookman Old Style" w:eastAsiaTheme="majorEastAsia" w:hAnsi="Bookman Old Style" w:cstheme="majorBidi"/>
          <w:b/>
          <w:bCs/>
          <w:color w:val="FF0000"/>
          <w:kern w:val="2"/>
        </w:rPr>
        <w:t>.</w:t>
      </w:r>
      <w:r w:rsidR="000450C2" w:rsidRPr="00C768D0">
        <w:rPr>
          <w:rFonts w:ascii="Bookman Old Style" w:eastAsiaTheme="majorEastAsia" w:hAnsi="Bookman Old Style" w:cstheme="majorBidi"/>
          <w:b/>
          <w:bCs/>
          <w:color w:val="FF0000"/>
          <w:kern w:val="2"/>
        </w:rPr>
        <w:t xml:space="preserve"> 28-ter, commi 1 e 2)</w:t>
      </w:r>
    </w:p>
    <w:p w14:paraId="0C88A1DA" w14:textId="55A78DB8" w:rsidR="000450C2" w:rsidRPr="00F90FDF" w:rsidRDefault="003B0D86" w:rsidP="000450C2">
      <w:pPr>
        <w:spacing w:after="120"/>
        <w:jc w:val="both"/>
        <w:rPr>
          <w:rFonts w:ascii="Bookman Old Style" w:hAnsi="Bookman Old Style"/>
        </w:rPr>
      </w:pPr>
      <w:r w:rsidRPr="00F90FDF">
        <w:rPr>
          <w:rFonts w:ascii="Bookman Old Style" w:hAnsi="Bookman Old Style"/>
        </w:rPr>
        <w:t>La norma, introdotta durante l’esame in sede parlamentare</w:t>
      </w:r>
      <w:r w:rsidRPr="00F90FDF">
        <w:rPr>
          <w:rFonts w:ascii="Bookman Old Style" w:hAnsi="Bookman Old Style"/>
          <w:b/>
          <w:bCs/>
        </w:rPr>
        <w:t xml:space="preserve"> </w:t>
      </w:r>
      <w:r w:rsidR="00626F41">
        <w:rPr>
          <w:rFonts w:ascii="Bookman Old Style" w:hAnsi="Bookman Old Style"/>
          <w:b/>
          <w:bCs/>
        </w:rPr>
        <w:t>su</w:t>
      </w:r>
      <w:r>
        <w:rPr>
          <w:rFonts w:ascii="Bookman Old Style" w:hAnsi="Bookman Old Style"/>
          <w:b/>
          <w:bCs/>
        </w:rPr>
        <w:t xml:space="preserve"> </w:t>
      </w:r>
      <w:r w:rsidR="000450C2" w:rsidRPr="00F90FDF">
        <w:rPr>
          <w:rFonts w:ascii="Bookman Old Style" w:hAnsi="Bookman Old Style"/>
          <w:b/>
          <w:bCs/>
        </w:rPr>
        <w:t>propost</w:t>
      </w:r>
      <w:r>
        <w:rPr>
          <w:rFonts w:ascii="Bookman Old Style" w:hAnsi="Bookman Old Style"/>
          <w:b/>
          <w:bCs/>
        </w:rPr>
        <w:t>a</w:t>
      </w:r>
      <w:r w:rsidR="000450C2" w:rsidRPr="00F90FDF">
        <w:rPr>
          <w:rFonts w:ascii="Bookman Old Style" w:hAnsi="Bookman Old Style"/>
          <w:b/>
          <w:bCs/>
        </w:rPr>
        <w:t xml:space="preserve"> d</w:t>
      </w:r>
      <w:r w:rsidR="00626F41">
        <w:rPr>
          <w:rFonts w:ascii="Bookman Old Style" w:hAnsi="Bookman Old Style"/>
          <w:b/>
          <w:bCs/>
        </w:rPr>
        <w:t>e</w:t>
      </w:r>
      <w:r w:rsidR="000450C2" w:rsidRPr="00F90FDF">
        <w:rPr>
          <w:rFonts w:ascii="Bookman Old Style" w:hAnsi="Bookman Old Style"/>
          <w:b/>
          <w:bCs/>
        </w:rPr>
        <w:t>ll’ANCI</w:t>
      </w:r>
      <w:r w:rsidR="000450C2" w:rsidRPr="00F90FDF">
        <w:rPr>
          <w:rFonts w:ascii="Bookman Old Style" w:hAnsi="Bookman Old Style"/>
        </w:rPr>
        <w:t xml:space="preserve">,  modifica il </w:t>
      </w:r>
      <w:proofErr w:type="spellStart"/>
      <w:r w:rsidR="000450C2" w:rsidRPr="00F90FDF">
        <w:rPr>
          <w:rFonts w:ascii="Bookman Old Style" w:hAnsi="Bookman Old Style"/>
        </w:rPr>
        <w:t>d.l.</w:t>
      </w:r>
      <w:proofErr w:type="spellEnd"/>
      <w:r w:rsidR="000450C2" w:rsidRPr="00F90FDF">
        <w:rPr>
          <w:rFonts w:ascii="Bookman Old Style" w:hAnsi="Bookman Old Style"/>
        </w:rPr>
        <w:t xml:space="preserve"> 44/2023 come convertito dalla L.74/2023 e riguarda le </w:t>
      </w:r>
      <w:r w:rsidR="000450C2" w:rsidRPr="00F90FDF">
        <w:rPr>
          <w:rFonts w:ascii="Bookman Old Style" w:hAnsi="Bookman Old Style"/>
          <w:b/>
          <w:bCs/>
        </w:rPr>
        <w:t>graduatorie concorsuali</w:t>
      </w:r>
      <w:r w:rsidR="000450C2" w:rsidRPr="00F90FDF">
        <w:rPr>
          <w:rFonts w:ascii="Bookman Old Style" w:hAnsi="Bookman Old Style"/>
        </w:rPr>
        <w:t xml:space="preserve">. Grazie ad essa si superano gran parte delle difficoltà derivanti dalla norma, introdotta dal citato </w:t>
      </w:r>
      <w:proofErr w:type="spellStart"/>
      <w:r w:rsidR="000450C2" w:rsidRPr="00F90FDF">
        <w:rPr>
          <w:rFonts w:ascii="Bookman Old Style" w:hAnsi="Bookman Old Style"/>
        </w:rPr>
        <w:t>d.l.</w:t>
      </w:r>
      <w:proofErr w:type="spellEnd"/>
      <w:r w:rsidR="000450C2" w:rsidRPr="00F90FDF">
        <w:rPr>
          <w:rFonts w:ascii="Bookman Old Style" w:hAnsi="Bookman Old Style"/>
        </w:rPr>
        <w:t xml:space="preserve"> 44/2023, che ha limitato la possibilità di scorrimento delle graduatorie al solo 20% dei posti messi a concorso. In particolare, con la modifica approvata, il limite del 20% non si applica:</w:t>
      </w:r>
    </w:p>
    <w:p w14:paraId="70B5EE1A" w14:textId="7F2487CB" w:rsidR="000450C2" w:rsidRPr="00F90FDF" w:rsidRDefault="000450C2" w:rsidP="000450C2">
      <w:pPr>
        <w:spacing w:after="120"/>
        <w:jc w:val="both"/>
        <w:rPr>
          <w:rFonts w:ascii="Bookman Old Style" w:hAnsi="Bookman Old Style"/>
        </w:rPr>
      </w:pPr>
      <w:r w:rsidRPr="00F90FDF">
        <w:rPr>
          <w:rFonts w:ascii="Bookman Old Style" w:hAnsi="Bookman Old Style"/>
        </w:rPr>
        <w:t>-</w:t>
      </w:r>
      <w:r w:rsidRPr="00F90FDF">
        <w:rPr>
          <w:rFonts w:ascii="Bookman Old Style" w:hAnsi="Bookman Old Style"/>
        </w:rPr>
        <w:tab/>
        <w:t xml:space="preserve">ai concorsi banditi per il reclutamento del </w:t>
      </w:r>
      <w:r w:rsidRPr="00F90FDF">
        <w:rPr>
          <w:rFonts w:ascii="Bookman Old Style" w:hAnsi="Bookman Old Style"/>
          <w:b/>
          <w:bCs/>
        </w:rPr>
        <w:t>personale educativo e scolastico</w:t>
      </w:r>
      <w:r w:rsidRPr="00F90FDF">
        <w:rPr>
          <w:rFonts w:ascii="Bookman Old Style" w:hAnsi="Bookman Old Style"/>
        </w:rPr>
        <w:t xml:space="preserve"> impiegato nei servizi gestiti direttamente dai Comuni e dalle Unioni di </w:t>
      </w:r>
      <w:r w:rsidR="00B52E35">
        <w:rPr>
          <w:rFonts w:ascii="Bookman Old Style" w:hAnsi="Bookman Old Style"/>
        </w:rPr>
        <w:t>C</w:t>
      </w:r>
      <w:r w:rsidRPr="00F90FDF">
        <w:rPr>
          <w:rFonts w:ascii="Bookman Old Style" w:hAnsi="Bookman Old Style"/>
        </w:rPr>
        <w:t>omuni;</w:t>
      </w:r>
    </w:p>
    <w:p w14:paraId="0E7C4758" w14:textId="076B04DF" w:rsidR="000450C2" w:rsidRPr="00F90FDF" w:rsidRDefault="000450C2" w:rsidP="000450C2">
      <w:pPr>
        <w:spacing w:after="120"/>
        <w:jc w:val="both"/>
        <w:rPr>
          <w:rFonts w:ascii="Bookman Old Style" w:hAnsi="Bookman Old Style"/>
        </w:rPr>
      </w:pPr>
      <w:r w:rsidRPr="00F90FDF">
        <w:rPr>
          <w:rFonts w:ascii="Bookman Old Style" w:hAnsi="Bookman Old Style"/>
        </w:rPr>
        <w:lastRenderedPageBreak/>
        <w:t>-</w:t>
      </w:r>
      <w:r w:rsidRPr="00F90FDF">
        <w:rPr>
          <w:rFonts w:ascii="Bookman Old Style" w:hAnsi="Bookman Old Style"/>
        </w:rPr>
        <w:tab/>
        <w:t xml:space="preserve">a tutte le procedure concorsuali </w:t>
      </w:r>
      <w:r w:rsidR="003D3094">
        <w:rPr>
          <w:rFonts w:ascii="Bookman Old Style" w:hAnsi="Bookman Old Style"/>
        </w:rPr>
        <w:t xml:space="preserve">bandite </w:t>
      </w:r>
      <w:r w:rsidRPr="00F90FDF">
        <w:rPr>
          <w:rFonts w:ascii="Bookman Old Style" w:hAnsi="Bookman Old Style"/>
        </w:rPr>
        <w:t xml:space="preserve">dagli enti locali o da enti o agenzie da questi controllati o partecipati che prevedano un </w:t>
      </w:r>
      <w:r w:rsidRPr="00F90FDF">
        <w:rPr>
          <w:rFonts w:ascii="Bookman Old Style" w:hAnsi="Bookman Old Style"/>
          <w:b/>
          <w:bCs/>
        </w:rPr>
        <w:t>numero di posti messi a concorso non superiore a venti unità;</w:t>
      </w:r>
      <w:r w:rsidRPr="00F90FDF">
        <w:rPr>
          <w:rFonts w:ascii="Bookman Old Style" w:hAnsi="Bookman Old Style"/>
        </w:rPr>
        <w:t xml:space="preserve"> </w:t>
      </w:r>
    </w:p>
    <w:p w14:paraId="50C9C406" w14:textId="77777777" w:rsidR="000450C2" w:rsidRPr="00F90FDF" w:rsidRDefault="000450C2" w:rsidP="000450C2">
      <w:pPr>
        <w:spacing w:after="120"/>
        <w:jc w:val="both"/>
        <w:rPr>
          <w:rFonts w:ascii="Bookman Old Style" w:hAnsi="Bookman Old Style"/>
        </w:rPr>
      </w:pPr>
      <w:r w:rsidRPr="00F90FDF">
        <w:rPr>
          <w:rFonts w:ascii="Bookman Old Style" w:hAnsi="Bookman Old Style"/>
        </w:rPr>
        <w:t>-</w:t>
      </w:r>
      <w:r w:rsidRPr="00F90FDF">
        <w:rPr>
          <w:rFonts w:ascii="Bookman Old Style" w:hAnsi="Bookman Old Style"/>
        </w:rPr>
        <w:tab/>
        <w:t xml:space="preserve">a tutti i concorsi banditi dai </w:t>
      </w:r>
      <w:r w:rsidRPr="00F90FDF">
        <w:rPr>
          <w:rFonts w:ascii="Bookman Old Style" w:hAnsi="Bookman Old Style"/>
          <w:b/>
          <w:bCs/>
        </w:rPr>
        <w:t>Comuni con popolazione inferiore a 3.000 abitanti</w:t>
      </w:r>
      <w:r w:rsidRPr="00F90FDF">
        <w:rPr>
          <w:rFonts w:ascii="Bookman Old Style" w:hAnsi="Bookman Old Style"/>
        </w:rPr>
        <w:t>;</w:t>
      </w:r>
    </w:p>
    <w:p w14:paraId="6771F7D7" w14:textId="77777777" w:rsidR="000450C2" w:rsidRPr="00F90FDF" w:rsidRDefault="000450C2" w:rsidP="000450C2">
      <w:pPr>
        <w:spacing w:after="120"/>
        <w:jc w:val="both"/>
        <w:rPr>
          <w:rFonts w:ascii="Bookman Old Style" w:hAnsi="Bookman Old Style"/>
        </w:rPr>
      </w:pPr>
      <w:r w:rsidRPr="00F90FDF">
        <w:rPr>
          <w:rFonts w:ascii="Bookman Old Style" w:hAnsi="Bookman Old Style"/>
        </w:rPr>
        <w:t>-</w:t>
      </w:r>
      <w:r w:rsidRPr="00F90FDF">
        <w:rPr>
          <w:rFonts w:ascii="Bookman Old Style" w:hAnsi="Bookman Old Style"/>
        </w:rPr>
        <w:tab/>
        <w:t xml:space="preserve">a tutti i concorsi banditi per </w:t>
      </w:r>
      <w:r w:rsidRPr="00F90FDF">
        <w:rPr>
          <w:rFonts w:ascii="Bookman Old Style" w:hAnsi="Bookman Old Style"/>
          <w:b/>
          <w:bCs/>
        </w:rPr>
        <w:t>assunzioni a tempo determinato</w:t>
      </w:r>
      <w:r w:rsidRPr="00F90FDF">
        <w:rPr>
          <w:rFonts w:ascii="Bookman Old Style" w:hAnsi="Bookman Old Style"/>
        </w:rPr>
        <w:t>.</w:t>
      </w:r>
    </w:p>
    <w:p w14:paraId="1A3DCEE5" w14:textId="77777777" w:rsidR="000450C2" w:rsidRPr="00F90FDF" w:rsidRDefault="000450C2" w:rsidP="000450C2">
      <w:pPr>
        <w:spacing w:after="120"/>
        <w:jc w:val="both"/>
        <w:rPr>
          <w:rFonts w:ascii="Bookman Old Style" w:hAnsi="Bookman Old Style"/>
        </w:rPr>
      </w:pPr>
      <w:r w:rsidRPr="00F90FDF">
        <w:rPr>
          <w:rFonts w:ascii="Bookman Old Style" w:hAnsi="Bookman Old Style"/>
        </w:rPr>
        <w:t>Con successivo Decreto ministeriale possono essere individuate ulteriori deroghe.</w:t>
      </w:r>
    </w:p>
    <w:p w14:paraId="42AE0BE6" w14:textId="33746F27" w:rsidR="000450C2" w:rsidRDefault="00B4601C" w:rsidP="00803253">
      <w:pPr>
        <w:spacing w:after="120"/>
        <w:jc w:val="both"/>
        <w:rPr>
          <w:rFonts w:ascii="Bookman Old Style" w:hAnsi="Bookman Old Style"/>
        </w:rPr>
      </w:pPr>
      <w:r w:rsidRPr="00F90FDF">
        <w:rPr>
          <w:rFonts w:ascii="Bookman Old Style" w:hAnsi="Bookman Old Style"/>
        </w:rPr>
        <w:t>Riguardo alla decorrenza temporale, il comma 2 del presente articolo 28-ter specifica che i limiti</w:t>
      </w:r>
      <w:r w:rsidR="00A419CB" w:rsidRPr="00F90FDF">
        <w:rPr>
          <w:rFonts w:ascii="Bookman Old Style" w:hAnsi="Bookman Old Style"/>
        </w:rPr>
        <w:t xml:space="preserve">, </w:t>
      </w:r>
      <w:r w:rsidRPr="00F90FDF">
        <w:rPr>
          <w:rFonts w:ascii="Bookman Old Style" w:hAnsi="Bookman Old Style"/>
        </w:rPr>
        <w:t>numerico e di scorrimento</w:t>
      </w:r>
      <w:r w:rsidR="00A419CB" w:rsidRPr="00F90FDF">
        <w:rPr>
          <w:rFonts w:ascii="Bookman Old Style" w:hAnsi="Bookman Old Style"/>
        </w:rPr>
        <w:t>,</w:t>
      </w:r>
      <w:r w:rsidRPr="00F90FDF">
        <w:rPr>
          <w:rFonts w:ascii="Bookman Old Style" w:hAnsi="Bookman Old Style"/>
        </w:rPr>
        <w:t xml:space="preserve"> si applicano ai concorsi pubblici banditi successivamente all’entrata in vigore della legge di conversione del presente D.L. n. 75.</w:t>
      </w:r>
    </w:p>
    <w:p w14:paraId="4C0DA9EA" w14:textId="519AA1C2" w:rsidR="00805446" w:rsidRPr="00F90FDF" w:rsidRDefault="005B5CFF" w:rsidP="00803253">
      <w:pPr>
        <w:spacing w:after="120"/>
        <w:jc w:val="both"/>
        <w:rPr>
          <w:rFonts w:ascii="Bookman Old Style" w:hAnsi="Bookman Old Style"/>
        </w:rPr>
      </w:pPr>
      <w:r>
        <w:rPr>
          <w:rFonts w:ascii="Bookman Old Style" w:hAnsi="Bookman Old Style"/>
        </w:rPr>
        <w:t xml:space="preserve">Di conseguenza, per tutte le fattispecie individuate </w:t>
      </w:r>
      <w:r w:rsidR="008749B2">
        <w:rPr>
          <w:rFonts w:ascii="Bookman Old Style" w:hAnsi="Bookman Old Style"/>
        </w:rPr>
        <w:t xml:space="preserve">con </w:t>
      </w:r>
      <w:r w:rsidR="000F009B">
        <w:rPr>
          <w:rFonts w:ascii="Bookman Old Style" w:hAnsi="Bookman Old Style"/>
        </w:rPr>
        <w:t>le</w:t>
      </w:r>
      <w:r w:rsidR="008749B2">
        <w:rPr>
          <w:rFonts w:ascii="Bookman Old Style" w:hAnsi="Bookman Old Style"/>
        </w:rPr>
        <w:t xml:space="preserve"> modifiche introdotte in sede di conversione, l’utilizzo delle graduatorie concorsuali non subisce limitazioni numeriche: </w:t>
      </w:r>
      <w:r w:rsidR="00DA4796">
        <w:rPr>
          <w:rFonts w:ascii="Bookman Old Style" w:hAnsi="Bookman Old Style"/>
        </w:rPr>
        <w:t xml:space="preserve">sarà pertanto possibile utilizzarle, anche mediante convenzionamento tra enti, </w:t>
      </w:r>
      <w:r w:rsidR="00444606">
        <w:rPr>
          <w:rFonts w:ascii="Bookman Old Style" w:hAnsi="Bookman Old Style"/>
        </w:rPr>
        <w:t>non solo</w:t>
      </w:r>
      <w:r w:rsidR="00DA4796">
        <w:rPr>
          <w:rFonts w:ascii="Bookman Old Style" w:hAnsi="Bookman Old Style"/>
        </w:rPr>
        <w:t xml:space="preserve"> </w:t>
      </w:r>
      <w:r w:rsidR="001B7075">
        <w:rPr>
          <w:rFonts w:ascii="Bookman Old Style" w:hAnsi="Bookman Old Style"/>
        </w:rPr>
        <w:t xml:space="preserve">in caso di rinuncia all’assunzione </w:t>
      </w:r>
      <w:r w:rsidR="00444606">
        <w:rPr>
          <w:rFonts w:ascii="Bookman Old Style" w:hAnsi="Bookman Old Style"/>
        </w:rPr>
        <w:t xml:space="preserve">dei vincitori di concorso o in caso  di dimissioni intervenute entro </w:t>
      </w:r>
      <w:r w:rsidR="00A673C7">
        <w:rPr>
          <w:rFonts w:ascii="Bookman Old Style" w:hAnsi="Bookman Old Style"/>
        </w:rPr>
        <w:t xml:space="preserve">6 mesi dall’assunzione, ma per tutte </w:t>
      </w:r>
      <w:r w:rsidR="000F009B">
        <w:rPr>
          <w:rFonts w:ascii="Bookman Old Style" w:hAnsi="Bookman Old Style"/>
        </w:rPr>
        <w:t>le</w:t>
      </w:r>
      <w:r w:rsidR="00A673C7">
        <w:rPr>
          <w:rFonts w:ascii="Bookman Old Style" w:hAnsi="Bookman Old Style"/>
        </w:rPr>
        <w:t xml:space="preserve"> esigenze </w:t>
      </w:r>
      <w:proofErr w:type="spellStart"/>
      <w:r w:rsidR="00A673C7">
        <w:rPr>
          <w:rFonts w:ascii="Bookman Old Style" w:hAnsi="Bookman Old Style"/>
        </w:rPr>
        <w:t>assunzionali</w:t>
      </w:r>
      <w:proofErr w:type="spellEnd"/>
      <w:r w:rsidR="00A673C7">
        <w:rPr>
          <w:rFonts w:ascii="Bookman Old Style" w:hAnsi="Bookman Old Style"/>
        </w:rPr>
        <w:t xml:space="preserve"> che si manifestano durante la vigenza delle</w:t>
      </w:r>
      <w:r w:rsidR="001B7075">
        <w:rPr>
          <w:rFonts w:ascii="Bookman Old Style" w:hAnsi="Bookman Old Style"/>
        </w:rPr>
        <w:t xml:space="preserve"> </w:t>
      </w:r>
      <w:r w:rsidR="00A673C7">
        <w:rPr>
          <w:rFonts w:ascii="Bookman Old Style" w:hAnsi="Bookman Old Style"/>
        </w:rPr>
        <w:t>graduatorie</w:t>
      </w:r>
      <w:r w:rsidR="000F009B">
        <w:rPr>
          <w:rFonts w:ascii="Bookman Old Style" w:hAnsi="Bookman Old Style"/>
        </w:rPr>
        <w:t xml:space="preserve"> medesime.</w:t>
      </w:r>
    </w:p>
    <w:p w14:paraId="664B0992" w14:textId="77777777" w:rsidR="00825468" w:rsidRPr="00F90FDF" w:rsidRDefault="00825468" w:rsidP="00825468">
      <w:pPr>
        <w:spacing w:after="120"/>
        <w:jc w:val="both"/>
        <w:rPr>
          <w:rFonts w:ascii="Bookman Old Style" w:hAnsi="Bookman Old Style"/>
        </w:rPr>
      </w:pPr>
    </w:p>
    <w:p w14:paraId="36BA2358" w14:textId="23846393" w:rsidR="00BF51C0" w:rsidRPr="00C768D0" w:rsidRDefault="00BF51C0" w:rsidP="00885C03">
      <w:pPr>
        <w:pStyle w:val="Paragrafoelenco"/>
        <w:numPr>
          <w:ilvl w:val="0"/>
          <w:numId w:val="1"/>
        </w:numPr>
        <w:jc w:val="both"/>
        <w:rPr>
          <w:rFonts w:ascii="Bookman Old Style" w:eastAsiaTheme="majorEastAsia" w:hAnsi="Bookman Old Style" w:cstheme="majorBidi"/>
          <w:b/>
          <w:bCs/>
          <w:color w:val="FF0000"/>
          <w:kern w:val="2"/>
        </w:rPr>
      </w:pPr>
      <w:r w:rsidRPr="00C768D0">
        <w:rPr>
          <w:rFonts w:ascii="Bookman Old Style" w:eastAsiaTheme="majorEastAsia" w:hAnsi="Bookman Old Style" w:cstheme="majorBidi"/>
          <w:b/>
          <w:bCs/>
          <w:color w:val="FF0000"/>
          <w:kern w:val="2"/>
        </w:rPr>
        <w:t xml:space="preserve">Fondo per il sostegno ai </w:t>
      </w:r>
      <w:r w:rsidR="00B52E35" w:rsidRPr="00C768D0">
        <w:rPr>
          <w:rFonts w:ascii="Bookman Old Style" w:eastAsiaTheme="majorEastAsia" w:hAnsi="Bookman Old Style" w:cstheme="majorBidi"/>
          <w:b/>
          <w:bCs/>
          <w:color w:val="FF0000"/>
          <w:kern w:val="2"/>
        </w:rPr>
        <w:t>C</w:t>
      </w:r>
      <w:r w:rsidRPr="00C768D0">
        <w:rPr>
          <w:rFonts w:ascii="Bookman Old Style" w:eastAsiaTheme="majorEastAsia" w:hAnsi="Bookman Old Style" w:cstheme="majorBidi"/>
          <w:b/>
          <w:bCs/>
          <w:color w:val="FF0000"/>
          <w:kern w:val="2"/>
        </w:rPr>
        <w:t>omuni in deficit strutturale (Art</w:t>
      </w:r>
      <w:r w:rsidR="002F2D3F" w:rsidRPr="00C768D0">
        <w:rPr>
          <w:rFonts w:ascii="Bookman Old Style" w:eastAsiaTheme="majorEastAsia" w:hAnsi="Bookman Old Style" w:cstheme="majorBidi"/>
          <w:b/>
          <w:bCs/>
          <w:color w:val="FF0000"/>
          <w:kern w:val="2"/>
        </w:rPr>
        <w:t>.</w:t>
      </w:r>
      <w:r w:rsidRPr="00C768D0">
        <w:rPr>
          <w:rFonts w:ascii="Bookman Old Style" w:eastAsiaTheme="majorEastAsia" w:hAnsi="Bookman Old Style" w:cstheme="majorBidi"/>
          <w:b/>
          <w:bCs/>
          <w:color w:val="FF0000"/>
          <w:kern w:val="2"/>
        </w:rPr>
        <w:t xml:space="preserve"> 28-sexies)</w:t>
      </w:r>
    </w:p>
    <w:p w14:paraId="6C3AEA92" w14:textId="4E8C9EF3" w:rsidR="00225BFE" w:rsidRPr="00F90FDF" w:rsidRDefault="00690034" w:rsidP="00690034">
      <w:pPr>
        <w:spacing w:after="120"/>
        <w:jc w:val="both"/>
        <w:rPr>
          <w:rFonts w:ascii="Bookman Old Style" w:hAnsi="Bookman Old Style"/>
        </w:rPr>
      </w:pPr>
      <w:r w:rsidRPr="00F90FDF">
        <w:rPr>
          <w:rFonts w:ascii="Bookman Old Style" w:hAnsi="Bookman Old Style"/>
        </w:rPr>
        <w:t xml:space="preserve">La norma è </w:t>
      </w:r>
      <w:r w:rsidR="00C56162">
        <w:rPr>
          <w:rFonts w:ascii="Bookman Old Style" w:hAnsi="Bookman Old Style"/>
        </w:rPr>
        <w:t>finalizzata</w:t>
      </w:r>
      <w:r w:rsidRPr="00F90FDF">
        <w:rPr>
          <w:rFonts w:ascii="Bookman Old Style" w:hAnsi="Bookman Old Style"/>
        </w:rPr>
        <w:t xml:space="preserve"> a consentire il riparto dei 2 milioni di euro per il 2023 stanziati dal comma 790 </w:t>
      </w:r>
      <w:r w:rsidR="00C81DF6">
        <w:rPr>
          <w:rFonts w:ascii="Bookman Old Style" w:hAnsi="Bookman Old Style"/>
        </w:rPr>
        <w:t>della legge di bil</w:t>
      </w:r>
      <w:r w:rsidR="00C56162">
        <w:rPr>
          <w:rFonts w:ascii="Bookman Old Style" w:hAnsi="Bookman Old Style"/>
        </w:rPr>
        <w:t xml:space="preserve">ancio per il 2023 </w:t>
      </w:r>
      <w:r w:rsidRPr="00F90FDF">
        <w:rPr>
          <w:rFonts w:ascii="Bookman Old Style" w:hAnsi="Bookman Old Style"/>
        </w:rPr>
        <w:t xml:space="preserve">anche ai </w:t>
      </w:r>
      <w:r w:rsidR="002833F6">
        <w:rPr>
          <w:rFonts w:ascii="Bookman Old Style" w:hAnsi="Bookman Old Style"/>
        </w:rPr>
        <w:t>C</w:t>
      </w:r>
      <w:r w:rsidRPr="00F90FDF">
        <w:rPr>
          <w:rFonts w:ascii="Bookman Old Style" w:hAnsi="Bookman Old Style"/>
        </w:rPr>
        <w:t xml:space="preserve">omuni della Regione Siciliana e della regione Sardegna, considerando che i D.M. attuativi che hanno determinato la stima della capacità pro capite riguardano solo i </w:t>
      </w:r>
      <w:r w:rsidR="002833F6">
        <w:rPr>
          <w:rFonts w:ascii="Bookman Old Style" w:hAnsi="Bookman Old Style"/>
        </w:rPr>
        <w:t>C</w:t>
      </w:r>
      <w:r w:rsidRPr="00F90FDF">
        <w:rPr>
          <w:rFonts w:ascii="Bookman Old Style" w:hAnsi="Bookman Old Style"/>
        </w:rPr>
        <w:t>omuni delle regioni a statuto ordinario.</w:t>
      </w:r>
    </w:p>
    <w:p w14:paraId="32FD9557" w14:textId="77777777" w:rsidR="00225BFE" w:rsidRPr="00F90FDF" w:rsidRDefault="00225BFE" w:rsidP="00825468">
      <w:pPr>
        <w:spacing w:after="120"/>
        <w:jc w:val="both"/>
        <w:rPr>
          <w:rFonts w:ascii="Bookman Old Style" w:hAnsi="Bookman Old Style"/>
        </w:rPr>
      </w:pPr>
    </w:p>
    <w:p w14:paraId="5869D40C" w14:textId="77777777" w:rsidR="00DD5394" w:rsidRPr="00F90FDF" w:rsidRDefault="00DD5394" w:rsidP="002A1A9D">
      <w:pPr>
        <w:spacing w:after="120"/>
        <w:jc w:val="both"/>
        <w:rPr>
          <w:rFonts w:ascii="Bookman Old Style" w:eastAsiaTheme="majorEastAsia" w:hAnsi="Bookman Old Style" w:cstheme="majorBidi"/>
          <w:b/>
          <w:bCs/>
          <w:color w:val="1F3763" w:themeColor="accent1" w:themeShade="7F"/>
          <w:kern w:val="2"/>
        </w:rPr>
      </w:pPr>
    </w:p>
    <w:p w14:paraId="4CFE198C" w14:textId="3A152644" w:rsidR="00CD2EED" w:rsidRPr="00F54FD9" w:rsidRDefault="00840E75" w:rsidP="00F54FD9">
      <w:pPr>
        <w:pStyle w:val="Paragrafoelenco"/>
        <w:numPr>
          <w:ilvl w:val="0"/>
          <w:numId w:val="7"/>
        </w:numPr>
        <w:spacing w:after="120"/>
        <w:jc w:val="both"/>
        <w:rPr>
          <w:rFonts w:ascii="Bookman Old Style" w:eastAsiaTheme="majorEastAsia" w:hAnsi="Bookman Old Style" w:cstheme="majorBidi"/>
          <w:b/>
          <w:bCs/>
          <w:color w:val="1F3763" w:themeColor="accent1" w:themeShade="7F"/>
          <w:kern w:val="2"/>
        </w:rPr>
      </w:pPr>
      <w:r w:rsidRPr="00F54FD9">
        <w:rPr>
          <w:rFonts w:ascii="Bookman Old Style" w:eastAsiaTheme="majorEastAsia" w:hAnsi="Bookman Old Style" w:cstheme="majorBidi"/>
          <w:b/>
          <w:bCs/>
          <w:color w:val="1F3763" w:themeColor="accent1" w:themeShade="7F"/>
          <w:kern w:val="2"/>
        </w:rPr>
        <w:t>DISPOSIZIONI URGENTI IN MATERIA DI SPORT</w:t>
      </w:r>
    </w:p>
    <w:p w14:paraId="5F77B07A" w14:textId="77777777" w:rsidR="008B462D" w:rsidRPr="00C768D0" w:rsidRDefault="00CD2EED" w:rsidP="000071C3">
      <w:pPr>
        <w:pStyle w:val="Paragrafoelenco"/>
        <w:numPr>
          <w:ilvl w:val="0"/>
          <w:numId w:val="1"/>
        </w:numPr>
        <w:jc w:val="both"/>
        <w:rPr>
          <w:rFonts w:ascii="Bookman Old Style" w:eastAsiaTheme="majorEastAsia" w:hAnsi="Bookman Old Style" w:cstheme="majorBidi"/>
          <w:b/>
          <w:bCs/>
          <w:color w:val="FF0000"/>
          <w:kern w:val="2"/>
        </w:rPr>
      </w:pPr>
      <w:r w:rsidRPr="00C768D0">
        <w:rPr>
          <w:rFonts w:ascii="Bookman Old Style" w:eastAsiaTheme="majorEastAsia" w:hAnsi="Bookman Old Style" w:cstheme="majorBidi"/>
          <w:b/>
          <w:bCs/>
          <w:color w:val="FF0000"/>
          <w:kern w:val="2"/>
        </w:rPr>
        <w:t>Misure straordinarie sul personale del Comune di Cortina d’Ampezzo in ordine ai XXV Giochi olimpici invernali Milano Cortina 2026</w:t>
      </w:r>
      <w:r w:rsidR="008B462D" w:rsidRPr="00C768D0">
        <w:rPr>
          <w:rFonts w:ascii="Bookman Old Style" w:eastAsiaTheme="majorEastAsia" w:hAnsi="Bookman Old Style" w:cstheme="majorBidi"/>
          <w:b/>
          <w:bCs/>
          <w:color w:val="FF0000"/>
          <w:kern w:val="2"/>
        </w:rPr>
        <w:t xml:space="preserve"> (Art. 39)</w:t>
      </w:r>
    </w:p>
    <w:p w14:paraId="42D26234" w14:textId="0B74AE7E" w:rsidR="00CD2EED" w:rsidRDefault="008B462D" w:rsidP="008B462D">
      <w:pPr>
        <w:spacing w:after="120"/>
        <w:jc w:val="both"/>
        <w:rPr>
          <w:rFonts w:ascii="Bookman Old Style" w:hAnsi="Bookman Old Style"/>
        </w:rPr>
      </w:pPr>
      <w:r w:rsidRPr="00F90FDF">
        <w:rPr>
          <w:rFonts w:ascii="Bookman Old Style" w:hAnsi="Bookman Old Style"/>
        </w:rPr>
        <w:t>La norma p</w:t>
      </w:r>
      <w:r w:rsidR="00CD2EED" w:rsidRPr="00F90FDF">
        <w:rPr>
          <w:rFonts w:ascii="Bookman Old Style" w:hAnsi="Bookman Old Style"/>
        </w:rPr>
        <w:t xml:space="preserve">revede che, a decorrere dall’esercizio finanziario 2023, fino al 31 dicembre 2026, ai </w:t>
      </w:r>
      <w:r w:rsidR="002833F6">
        <w:rPr>
          <w:rFonts w:ascii="Bookman Old Style" w:hAnsi="Bookman Old Style"/>
        </w:rPr>
        <w:t>C</w:t>
      </w:r>
      <w:r w:rsidR="00CD2EED" w:rsidRPr="00F90FDF">
        <w:rPr>
          <w:rFonts w:ascii="Bookman Old Style" w:hAnsi="Bookman Old Style"/>
        </w:rPr>
        <w:t xml:space="preserve">omuni di Anterselva, Bormio, Cortina d’Ampezzo, Livigno, Predazzo, Tesero e Valdisotto, non si applichino i limiti di spesa per lavoro flessibile, per la quota di spesa finalizzata alla realizzazione delle relative attività. Per accelerare le procedure di reclutamento, inoltre, i </w:t>
      </w:r>
      <w:r w:rsidR="002833F6">
        <w:rPr>
          <w:rFonts w:ascii="Bookman Old Style" w:hAnsi="Bookman Old Style"/>
        </w:rPr>
        <w:t>C</w:t>
      </w:r>
      <w:r w:rsidR="00CD2EED" w:rsidRPr="00F90FDF">
        <w:rPr>
          <w:rFonts w:ascii="Bookman Old Style" w:hAnsi="Bookman Old Style"/>
        </w:rPr>
        <w:t>omuni possono accedere a procedure selettive semplificate, che prevedono solo la valutazione dei titoli e un colloquio. I contratti di lavoro a tempo determinato possono essere stipulati per un periodo complessivo comunque non eccedente il termine del 31 dicembre 2026.</w:t>
      </w:r>
    </w:p>
    <w:p w14:paraId="03D21B5F" w14:textId="77777777" w:rsidR="00311650" w:rsidRPr="00F90FDF" w:rsidRDefault="00311650" w:rsidP="008B462D">
      <w:pPr>
        <w:spacing w:after="120"/>
        <w:jc w:val="both"/>
        <w:rPr>
          <w:rFonts w:ascii="Bookman Old Style" w:hAnsi="Bookman Old Style"/>
        </w:rPr>
      </w:pPr>
    </w:p>
    <w:p w14:paraId="7C57338A" w14:textId="77777777" w:rsidR="00311650" w:rsidRPr="00F90FDF" w:rsidRDefault="00311650" w:rsidP="002A1A9D">
      <w:pPr>
        <w:spacing w:after="120"/>
        <w:jc w:val="both"/>
        <w:rPr>
          <w:rFonts w:ascii="Bookman Old Style" w:eastAsiaTheme="majorEastAsia" w:hAnsi="Bookman Old Style" w:cstheme="majorBidi"/>
          <w:b/>
          <w:bCs/>
          <w:color w:val="1F3763" w:themeColor="accent1" w:themeShade="7F"/>
          <w:kern w:val="2"/>
        </w:rPr>
      </w:pPr>
    </w:p>
    <w:sectPr w:rsidR="00311650" w:rsidRPr="00F90FDF">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E910C" w14:textId="77777777" w:rsidR="005B075A" w:rsidRDefault="005B075A" w:rsidP="004178CE">
      <w:r>
        <w:separator/>
      </w:r>
    </w:p>
  </w:endnote>
  <w:endnote w:type="continuationSeparator" w:id="0">
    <w:p w14:paraId="7D09BA39" w14:textId="77777777" w:rsidR="005B075A" w:rsidRDefault="005B075A" w:rsidP="00417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7765558"/>
      <w:docPartObj>
        <w:docPartGallery w:val="Page Numbers (Bottom of Page)"/>
        <w:docPartUnique/>
      </w:docPartObj>
    </w:sdtPr>
    <w:sdtContent>
      <w:p w14:paraId="01EE1390" w14:textId="6841340D" w:rsidR="000A71CA" w:rsidRDefault="000A71CA">
        <w:pPr>
          <w:pStyle w:val="Pidipagina"/>
          <w:jc w:val="center"/>
        </w:pPr>
        <w:r>
          <w:fldChar w:fldCharType="begin"/>
        </w:r>
        <w:r>
          <w:instrText>PAGE   \* MERGEFORMAT</w:instrText>
        </w:r>
        <w:r>
          <w:fldChar w:fldCharType="separate"/>
        </w:r>
        <w:r>
          <w:t>2</w:t>
        </w:r>
        <w:r>
          <w:fldChar w:fldCharType="end"/>
        </w:r>
      </w:p>
    </w:sdtContent>
  </w:sdt>
  <w:p w14:paraId="4DDD6854" w14:textId="77777777" w:rsidR="004178CE" w:rsidRDefault="004178C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93505" w14:textId="77777777" w:rsidR="005B075A" w:rsidRDefault="005B075A" w:rsidP="004178CE">
      <w:r>
        <w:separator/>
      </w:r>
    </w:p>
  </w:footnote>
  <w:footnote w:type="continuationSeparator" w:id="0">
    <w:p w14:paraId="2834E502" w14:textId="77777777" w:rsidR="005B075A" w:rsidRDefault="005B075A" w:rsidP="004178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D16BCB"/>
    <w:multiLevelType w:val="hybridMultilevel"/>
    <w:tmpl w:val="504C04FA"/>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4BAC5613"/>
    <w:multiLevelType w:val="hybridMultilevel"/>
    <w:tmpl w:val="F620B580"/>
    <w:lvl w:ilvl="0" w:tplc="0410000D">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4FEB3B31"/>
    <w:multiLevelType w:val="hybridMultilevel"/>
    <w:tmpl w:val="2D50AB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6D36CA5"/>
    <w:multiLevelType w:val="hybridMultilevel"/>
    <w:tmpl w:val="19ECB8E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78036BD3"/>
    <w:multiLevelType w:val="hybridMultilevel"/>
    <w:tmpl w:val="0680B236"/>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7F8C7F00"/>
    <w:multiLevelType w:val="hybridMultilevel"/>
    <w:tmpl w:val="07EE8CD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1677413729">
    <w:abstractNumId w:val="0"/>
  </w:num>
  <w:num w:numId="2" w16cid:durableId="1816025598">
    <w:abstractNumId w:val="5"/>
  </w:num>
  <w:num w:numId="3" w16cid:durableId="180169138">
    <w:abstractNumId w:val="4"/>
  </w:num>
  <w:num w:numId="4" w16cid:durableId="1758165127">
    <w:abstractNumId w:val="0"/>
  </w:num>
  <w:num w:numId="5" w16cid:durableId="1722165997">
    <w:abstractNumId w:val="1"/>
  </w:num>
  <w:num w:numId="6" w16cid:durableId="151068011">
    <w:abstractNumId w:val="2"/>
  </w:num>
  <w:num w:numId="7" w16cid:durableId="3239711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EED"/>
    <w:rsid w:val="00003D2D"/>
    <w:rsid w:val="00006F90"/>
    <w:rsid w:val="000071C3"/>
    <w:rsid w:val="00014389"/>
    <w:rsid w:val="000329B4"/>
    <w:rsid w:val="00042B16"/>
    <w:rsid w:val="000450C2"/>
    <w:rsid w:val="00045171"/>
    <w:rsid w:val="0004722F"/>
    <w:rsid w:val="00050276"/>
    <w:rsid w:val="00054032"/>
    <w:rsid w:val="00054196"/>
    <w:rsid w:val="000559A7"/>
    <w:rsid w:val="00061FB9"/>
    <w:rsid w:val="000826FC"/>
    <w:rsid w:val="000921AE"/>
    <w:rsid w:val="000A71CA"/>
    <w:rsid w:val="000C3548"/>
    <w:rsid w:val="000D0F19"/>
    <w:rsid w:val="000D2C05"/>
    <w:rsid w:val="000E4D85"/>
    <w:rsid w:val="000F009B"/>
    <w:rsid w:val="0010546E"/>
    <w:rsid w:val="0014095C"/>
    <w:rsid w:val="00145EBE"/>
    <w:rsid w:val="00150B8F"/>
    <w:rsid w:val="00152871"/>
    <w:rsid w:val="001541E1"/>
    <w:rsid w:val="00172DA8"/>
    <w:rsid w:val="001814A4"/>
    <w:rsid w:val="001832FA"/>
    <w:rsid w:val="0019195F"/>
    <w:rsid w:val="001B7075"/>
    <w:rsid w:val="001E7129"/>
    <w:rsid w:val="001F0840"/>
    <w:rsid w:val="001F4006"/>
    <w:rsid w:val="001F4191"/>
    <w:rsid w:val="002055AE"/>
    <w:rsid w:val="0021540B"/>
    <w:rsid w:val="00225BFE"/>
    <w:rsid w:val="00252FAA"/>
    <w:rsid w:val="002563BB"/>
    <w:rsid w:val="0025774F"/>
    <w:rsid w:val="00261995"/>
    <w:rsid w:val="00262168"/>
    <w:rsid w:val="00272CA3"/>
    <w:rsid w:val="00282105"/>
    <w:rsid w:val="002833F6"/>
    <w:rsid w:val="00283B1D"/>
    <w:rsid w:val="00291CBA"/>
    <w:rsid w:val="00294398"/>
    <w:rsid w:val="002A0F8B"/>
    <w:rsid w:val="002A1A9D"/>
    <w:rsid w:val="002E5181"/>
    <w:rsid w:val="002E7931"/>
    <w:rsid w:val="002F0208"/>
    <w:rsid w:val="002F2D3F"/>
    <w:rsid w:val="002F70F6"/>
    <w:rsid w:val="002F728E"/>
    <w:rsid w:val="003015D8"/>
    <w:rsid w:val="00301DA6"/>
    <w:rsid w:val="00305994"/>
    <w:rsid w:val="00311650"/>
    <w:rsid w:val="00322740"/>
    <w:rsid w:val="003235DB"/>
    <w:rsid w:val="0037206D"/>
    <w:rsid w:val="00380136"/>
    <w:rsid w:val="00386C29"/>
    <w:rsid w:val="00392B5A"/>
    <w:rsid w:val="003A1466"/>
    <w:rsid w:val="003B0D86"/>
    <w:rsid w:val="003D1D08"/>
    <w:rsid w:val="003D2E9B"/>
    <w:rsid w:val="003D3094"/>
    <w:rsid w:val="003F439B"/>
    <w:rsid w:val="003F7A5D"/>
    <w:rsid w:val="0041485B"/>
    <w:rsid w:val="00416513"/>
    <w:rsid w:val="004178CE"/>
    <w:rsid w:val="00422DAB"/>
    <w:rsid w:val="00444606"/>
    <w:rsid w:val="00445194"/>
    <w:rsid w:val="00471CAF"/>
    <w:rsid w:val="00490026"/>
    <w:rsid w:val="0049145C"/>
    <w:rsid w:val="004969FF"/>
    <w:rsid w:val="004B1835"/>
    <w:rsid w:val="004C7871"/>
    <w:rsid w:val="004D1FBE"/>
    <w:rsid w:val="004D4659"/>
    <w:rsid w:val="004D743D"/>
    <w:rsid w:val="00506402"/>
    <w:rsid w:val="005309D8"/>
    <w:rsid w:val="0053450C"/>
    <w:rsid w:val="00534FEA"/>
    <w:rsid w:val="00541564"/>
    <w:rsid w:val="005529E6"/>
    <w:rsid w:val="005535C2"/>
    <w:rsid w:val="00582D4D"/>
    <w:rsid w:val="005A3B67"/>
    <w:rsid w:val="005A7187"/>
    <w:rsid w:val="005B075A"/>
    <w:rsid w:val="005B5CFF"/>
    <w:rsid w:val="005D09FF"/>
    <w:rsid w:val="00600491"/>
    <w:rsid w:val="006175FF"/>
    <w:rsid w:val="0062039A"/>
    <w:rsid w:val="0062613E"/>
    <w:rsid w:val="00626F41"/>
    <w:rsid w:val="00631AB6"/>
    <w:rsid w:val="00643C63"/>
    <w:rsid w:val="006473DA"/>
    <w:rsid w:val="00647A33"/>
    <w:rsid w:val="00665814"/>
    <w:rsid w:val="0066621D"/>
    <w:rsid w:val="006853CB"/>
    <w:rsid w:val="00690034"/>
    <w:rsid w:val="0069617D"/>
    <w:rsid w:val="00696D39"/>
    <w:rsid w:val="006A7BB2"/>
    <w:rsid w:val="006C5438"/>
    <w:rsid w:val="006C67BA"/>
    <w:rsid w:val="006D1810"/>
    <w:rsid w:val="006F0322"/>
    <w:rsid w:val="006F19D4"/>
    <w:rsid w:val="007126D9"/>
    <w:rsid w:val="0072127A"/>
    <w:rsid w:val="007313EA"/>
    <w:rsid w:val="00766391"/>
    <w:rsid w:val="00771B39"/>
    <w:rsid w:val="00773924"/>
    <w:rsid w:val="007A0325"/>
    <w:rsid w:val="007A1C72"/>
    <w:rsid w:val="007B4F06"/>
    <w:rsid w:val="007C4D23"/>
    <w:rsid w:val="007D4CB1"/>
    <w:rsid w:val="007D5F64"/>
    <w:rsid w:val="007E6803"/>
    <w:rsid w:val="007F080A"/>
    <w:rsid w:val="00801EAF"/>
    <w:rsid w:val="00803253"/>
    <w:rsid w:val="00805446"/>
    <w:rsid w:val="00825468"/>
    <w:rsid w:val="00837CB2"/>
    <w:rsid w:val="00840E75"/>
    <w:rsid w:val="008476B4"/>
    <w:rsid w:val="0085075C"/>
    <w:rsid w:val="0085332B"/>
    <w:rsid w:val="008576E2"/>
    <w:rsid w:val="00865228"/>
    <w:rsid w:val="008749B2"/>
    <w:rsid w:val="00885C03"/>
    <w:rsid w:val="00893041"/>
    <w:rsid w:val="008B462D"/>
    <w:rsid w:val="008B7313"/>
    <w:rsid w:val="008C6E9B"/>
    <w:rsid w:val="00900472"/>
    <w:rsid w:val="00904B05"/>
    <w:rsid w:val="009054B4"/>
    <w:rsid w:val="00920FDF"/>
    <w:rsid w:val="009377DD"/>
    <w:rsid w:val="00954108"/>
    <w:rsid w:val="009543E7"/>
    <w:rsid w:val="00955E68"/>
    <w:rsid w:val="009634E6"/>
    <w:rsid w:val="00966C61"/>
    <w:rsid w:val="009858A7"/>
    <w:rsid w:val="009B0BC6"/>
    <w:rsid w:val="009C2074"/>
    <w:rsid w:val="009C33A1"/>
    <w:rsid w:val="009C4458"/>
    <w:rsid w:val="009E79A9"/>
    <w:rsid w:val="00A107DE"/>
    <w:rsid w:val="00A2382E"/>
    <w:rsid w:val="00A27ADE"/>
    <w:rsid w:val="00A323A6"/>
    <w:rsid w:val="00A3522F"/>
    <w:rsid w:val="00A36A05"/>
    <w:rsid w:val="00A37C57"/>
    <w:rsid w:val="00A4074D"/>
    <w:rsid w:val="00A419CB"/>
    <w:rsid w:val="00A53642"/>
    <w:rsid w:val="00A6732C"/>
    <w:rsid w:val="00A673C7"/>
    <w:rsid w:val="00A904D9"/>
    <w:rsid w:val="00AA036C"/>
    <w:rsid w:val="00AB3B11"/>
    <w:rsid w:val="00AC4E35"/>
    <w:rsid w:val="00AC739C"/>
    <w:rsid w:val="00AD0341"/>
    <w:rsid w:val="00AD1DCF"/>
    <w:rsid w:val="00AE4D12"/>
    <w:rsid w:val="00B11971"/>
    <w:rsid w:val="00B21E2A"/>
    <w:rsid w:val="00B35ACE"/>
    <w:rsid w:val="00B4601C"/>
    <w:rsid w:val="00B460A5"/>
    <w:rsid w:val="00B50E24"/>
    <w:rsid w:val="00B52386"/>
    <w:rsid w:val="00B52E35"/>
    <w:rsid w:val="00B670E4"/>
    <w:rsid w:val="00B83BAD"/>
    <w:rsid w:val="00B85ABC"/>
    <w:rsid w:val="00B869CE"/>
    <w:rsid w:val="00B86E56"/>
    <w:rsid w:val="00B9638C"/>
    <w:rsid w:val="00B973A5"/>
    <w:rsid w:val="00BD1F1F"/>
    <w:rsid w:val="00BF51C0"/>
    <w:rsid w:val="00C04CB7"/>
    <w:rsid w:val="00C050C9"/>
    <w:rsid w:val="00C11C8D"/>
    <w:rsid w:val="00C25256"/>
    <w:rsid w:val="00C35658"/>
    <w:rsid w:val="00C436D0"/>
    <w:rsid w:val="00C5423A"/>
    <w:rsid w:val="00C56162"/>
    <w:rsid w:val="00C66C82"/>
    <w:rsid w:val="00C674C6"/>
    <w:rsid w:val="00C768D0"/>
    <w:rsid w:val="00C81DF6"/>
    <w:rsid w:val="00C82432"/>
    <w:rsid w:val="00C916DC"/>
    <w:rsid w:val="00CA4A2D"/>
    <w:rsid w:val="00CA5073"/>
    <w:rsid w:val="00CB1FC2"/>
    <w:rsid w:val="00CC282A"/>
    <w:rsid w:val="00CC3F3E"/>
    <w:rsid w:val="00CD2EED"/>
    <w:rsid w:val="00CE6C95"/>
    <w:rsid w:val="00CF0AFF"/>
    <w:rsid w:val="00D04665"/>
    <w:rsid w:val="00D070EE"/>
    <w:rsid w:val="00D213A2"/>
    <w:rsid w:val="00D54793"/>
    <w:rsid w:val="00D54C66"/>
    <w:rsid w:val="00D5657A"/>
    <w:rsid w:val="00D84679"/>
    <w:rsid w:val="00D86204"/>
    <w:rsid w:val="00D91E93"/>
    <w:rsid w:val="00D92972"/>
    <w:rsid w:val="00D936CD"/>
    <w:rsid w:val="00DA2F42"/>
    <w:rsid w:val="00DA4796"/>
    <w:rsid w:val="00DB7E76"/>
    <w:rsid w:val="00DC2AFF"/>
    <w:rsid w:val="00DC511A"/>
    <w:rsid w:val="00DC59BF"/>
    <w:rsid w:val="00DD5394"/>
    <w:rsid w:val="00DE5CAA"/>
    <w:rsid w:val="00E056EC"/>
    <w:rsid w:val="00E1199D"/>
    <w:rsid w:val="00E26662"/>
    <w:rsid w:val="00E32BDD"/>
    <w:rsid w:val="00E3400D"/>
    <w:rsid w:val="00E67730"/>
    <w:rsid w:val="00E81907"/>
    <w:rsid w:val="00EA3E09"/>
    <w:rsid w:val="00EB1A43"/>
    <w:rsid w:val="00EB2D7A"/>
    <w:rsid w:val="00EC357B"/>
    <w:rsid w:val="00EE28C0"/>
    <w:rsid w:val="00EF4F2B"/>
    <w:rsid w:val="00F414DF"/>
    <w:rsid w:val="00F54FD9"/>
    <w:rsid w:val="00F746BE"/>
    <w:rsid w:val="00F85E5A"/>
    <w:rsid w:val="00F90FDF"/>
    <w:rsid w:val="00FA251B"/>
    <w:rsid w:val="00FA61AC"/>
    <w:rsid w:val="00FA7D9C"/>
    <w:rsid w:val="00FC0B7E"/>
    <w:rsid w:val="00FC54A9"/>
    <w:rsid w:val="00FE1C37"/>
    <w:rsid w:val="00FF4D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43094"/>
  <w15:chartTrackingRefBased/>
  <w15:docId w15:val="{6275935A-7970-49F3-9E49-8B648FEDB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D2EED"/>
    <w:pPr>
      <w:spacing w:after="0" w:line="240" w:lineRule="auto"/>
    </w:pPr>
    <w:rPr>
      <w:rFonts w:ascii="Calibri" w:hAnsi="Calibri" w:cs="Calibri"/>
      <w:kern w:val="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reformattatoHTML">
    <w:name w:val="HTML Preformatted"/>
    <w:basedOn w:val="Normale"/>
    <w:link w:val="PreformattatoHTMLCarattere"/>
    <w:uiPriority w:val="99"/>
    <w:semiHidden/>
    <w:unhideWhenUsed/>
    <w:rsid w:val="00CD2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nsolas" w:hAnsi="Consolas" w:cs="Courier New"/>
      <w:sz w:val="20"/>
      <w:szCs w:val="20"/>
    </w:rPr>
  </w:style>
  <w:style w:type="character" w:customStyle="1" w:styleId="PreformattatoHTMLCarattere">
    <w:name w:val="Preformattato HTML Carattere"/>
    <w:basedOn w:val="Carpredefinitoparagrafo"/>
    <w:link w:val="PreformattatoHTML"/>
    <w:uiPriority w:val="99"/>
    <w:semiHidden/>
    <w:rsid w:val="00CD2EED"/>
    <w:rPr>
      <w:rFonts w:ascii="Consolas" w:hAnsi="Consolas" w:cs="Courier New"/>
      <w:kern w:val="0"/>
      <w:sz w:val="20"/>
      <w:szCs w:val="20"/>
    </w:rPr>
  </w:style>
  <w:style w:type="paragraph" w:styleId="Paragrafoelenco">
    <w:name w:val="List Paragraph"/>
    <w:basedOn w:val="Normale"/>
    <w:uiPriority w:val="34"/>
    <w:qFormat/>
    <w:rsid w:val="00CD2EED"/>
    <w:pPr>
      <w:ind w:left="720"/>
    </w:pPr>
  </w:style>
  <w:style w:type="paragraph" w:styleId="Intestazione">
    <w:name w:val="header"/>
    <w:basedOn w:val="Normale"/>
    <w:link w:val="IntestazioneCarattere"/>
    <w:uiPriority w:val="99"/>
    <w:unhideWhenUsed/>
    <w:rsid w:val="004178CE"/>
    <w:pPr>
      <w:tabs>
        <w:tab w:val="center" w:pos="4819"/>
        <w:tab w:val="right" w:pos="9638"/>
      </w:tabs>
    </w:pPr>
  </w:style>
  <w:style w:type="character" w:customStyle="1" w:styleId="IntestazioneCarattere">
    <w:name w:val="Intestazione Carattere"/>
    <w:basedOn w:val="Carpredefinitoparagrafo"/>
    <w:link w:val="Intestazione"/>
    <w:uiPriority w:val="99"/>
    <w:rsid w:val="004178CE"/>
    <w:rPr>
      <w:rFonts w:ascii="Calibri" w:hAnsi="Calibri" w:cs="Calibri"/>
      <w:kern w:val="0"/>
    </w:rPr>
  </w:style>
  <w:style w:type="paragraph" w:styleId="Pidipagina">
    <w:name w:val="footer"/>
    <w:basedOn w:val="Normale"/>
    <w:link w:val="PidipaginaCarattere"/>
    <w:uiPriority w:val="99"/>
    <w:unhideWhenUsed/>
    <w:rsid w:val="004178CE"/>
    <w:pPr>
      <w:tabs>
        <w:tab w:val="center" w:pos="4819"/>
        <w:tab w:val="right" w:pos="9638"/>
      </w:tabs>
    </w:pPr>
  </w:style>
  <w:style w:type="character" w:customStyle="1" w:styleId="PidipaginaCarattere">
    <w:name w:val="Piè di pagina Carattere"/>
    <w:basedOn w:val="Carpredefinitoparagrafo"/>
    <w:link w:val="Pidipagina"/>
    <w:uiPriority w:val="99"/>
    <w:rsid w:val="004178CE"/>
    <w:rPr>
      <w:rFonts w:ascii="Calibri" w:hAnsi="Calibri" w:cs="Calibri"/>
      <w:kern w:val="0"/>
    </w:rPr>
  </w:style>
  <w:style w:type="paragraph" w:customStyle="1" w:styleId="Default">
    <w:name w:val="Default"/>
    <w:rsid w:val="00A6732C"/>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Revisione">
    <w:name w:val="Revision"/>
    <w:hidden/>
    <w:uiPriority w:val="99"/>
    <w:semiHidden/>
    <w:rsid w:val="006A7BB2"/>
    <w:pPr>
      <w:spacing w:after="0" w:line="240" w:lineRule="auto"/>
    </w:pPr>
    <w:rPr>
      <w:rFonts w:ascii="Calibri" w:hAnsi="Calibri" w:cs="Calibri"/>
      <w:kern w:val="0"/>
    </w:rPr>
  </w:style>
  <w:style w:type="character" w:styleId="Rimandocommento">
    <w:name w:val="annotation reference"/>
    <w:basedOn w:val="Carpredefinitoparagrafo"/>
    <w:uiPriority w:val="99"/>
    <w:semiHidden/>
    <w:unhideWhenUsed/>
    <w:rsid w:val="003015D8"/>
    <w:rPr>
      <w:sz w:val="16"/>
      <w:szCs w:val="16"/>
    </w:rPr>
  </w:style>
  <w:style w:type="paragraph" w:styleId="Testocommento">
    <w:name w:val="annotation text"/>
    <w:basedOn w:val="Normale"/>
    <w:link w:val="TestocommentoCarattere"/>
    <w:uiPriority w:val="99"/>
    <w:unhideWhenUsed/>
    <w:rsid w:val="003015D8"/>
    <w:rPr>
      <w:sz w:val="20"/>
      <w:szCs w:val="20"/>
    </w:rPr>
  </w:style>
  <w:style w:type="character" w:customStyle="1" w:styleId="TestocommentoCarattere">
    <w:name w:val="Testo commento Carattere"/>
    <w:basedOn w:val="Carpredefinitoparagrafo"/>
    <w:link w:val="Testocommento"/>
    <w:uiPriority w:val="99"/>
    <w:rsid w:val="003015D8"/>
    <w:rPr>
      <w:rFonts w:ascii="Calibri" w:hAnsi="Calibri" w:cs="Calibri"/>
      <w:kern w:val="0"/>
      <w:sz w:val="20"/>
      <w:szCs w:val="20"/>
    </w:rPr>
  </w:style>
  <w:style w:type="paragraph" w:styleId="Soggettocommento">
    <w:name w:val="annotation subject"/>
    <w:basedOn w:val="Testocommento"/>
    <w:next w:val="Testocommento"/>
    <w:link w:val="SoggettocommentoCarattere"/>
    <w:uiPriority w:val="99"/>
    <w:semiHidden/>
    <w:unhideWhenUsed/>
    <w:rsid w:val="003015D8"/>
    <w:rPr>
      <w:b/>
      <w:bCs/>
    </w:rPr>
  </w:style>
  <w:style w:type="character" w:customStyle="1" w:styleId="SoggettocommentoCarattere">
    <w:name w:val="Soggetto commento Carattere"/>
    <w:basedOn w:val="TestocommentoCarattere"/>
    <w:link w:val="Soggettocommento"/>
    <w:uiPriority w:val="99"/>
    <w:semiHidden/>
    <w:rsid w:val="003015D8"/>
    <w:rPr>
      <w:rFonts w:ascii="Calibri" w:hAnsi="Calibri" w:cs="Calibri"/>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811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zzettaufficiale.it/eli/gu/2023/06/21/143/so/23/sg/pdf"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1755</Words>
  <Characters>10010</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Mariella Sorrenti</dc:creator>
  <cp:keywords/>
  <dc:description/>
  <cp:lastModifiedBy>Ilaria Maccarini</cp:lastModifiedBy>
  <cp:revision>2</cp:revision>
  <cp:lastPrinted>2023-08-03T07:27:00Z</cp:lastPrinted>
  <dcterms:created xsi:type="dcterms:W3CDTF">2023-08-03T11:08:00Z</dcterms:created>
  <dcterms:modified xsi:type="dcterms:W3CDTF">2023-08-03T11:08:00Z</dcterms:modified>
</cp:coreProperties>
</file>